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仿宋_GB2312"/>
          <w:color w:val="auto"/>
          <w:sz w:val="44"/>
          <w:szCs w:val="32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仿宋_GB2312"/>
          <w:color w:val="auto"/>
          <w:sz w:val="44"/>
          <w:szCs w:val="32"/>
          <w:shd w:val="clear" w:color="auto" w:fill="FFFFFF"/>
          <w:lang w:eastAsia="zh-CN"/>
        </w:rPr>
        <w:t>电子缴款书的具体开具方法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实行收缴分离的非税收入项目，执收单位通过非税系统向缴款人开具电子缴款书，缴款人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通过代收机构将款</w:t>
      </w:r>
      <w:r>
        <w:rPr>
          <w:rFonts w:hint="eastAsia" w:ascii="仿宋_GB2312" w:hAnsi="仿宋_GB2312" w:eastAsia="仿宋_GB2312" w:cs="仿宋_GB2312"/>
          <w:sz w:val="32"/>
          <w:szCs w:val="32"/>
        </w:rPr>
        <w:t>项上缴财政。对确需实行集中汇缴的，执收单位应向缴款人开具浙江省非税收入统一票据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，征收款项后依规通过非税系统汇总开具电子缴款书，通过代收机构将款项上缴财政。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缴款码由非税系统自动生成；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执收单位编码和名称按财政部门统一编制的单位代码和名称填写，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非税系统自带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票据代码和校验码按财政部门统一制定的规则填写，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非税系统自带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票据号码由财政部门发放，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原则上按照财政部门设定规则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由系统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自动分配</w:t>
      </w:r>
      <w:r>
        <w:rPr>
          <w:rFonts w:hint="eastAsia" w:ascii="仿宋_GB2312" w:hAnsi="仿宋_GB2312" w:eastAsia="仿宋_GB2312" w:cs="仿宋_GB2312"/>
          <w:sz w:val="32"/>
          <w:szCs w:val="32"/>
        </w:rPr>
        <w:t>。对确有需要的执收单位，由执收单位向财政部门申请后，财政部门向执收单位预发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放</w:t>
      </w:r>
      <w:r>
        <w:rPr>
          <w:rFonts w:hint="eastAsia" w:ascii="仿宋_GB2312" w:hAnsi="仿宋_GB2312" w:eastAsia="仿宋_GB2312" w:cs="仿宋_GB2312"/>
          <w:sz w:val="32"/>
          <w:szCs w:val="32"/>
        </w:rPr>
        <w:t>票号，执收单位按顺序使用；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填制日期为执收单位开票时的年、月、日，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非税系统自带；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付款人即法定缴款义务人全称，如通过转账付款，要具体填写缴款人全称、账号、开户银行，如采用现金及公共支付平台付款，则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只需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填写缴款人全称；如有实际缴款人可按需填写在备注栏；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收款人即财政国库单一账户或财政专户；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币种原则上默认为人民币，金额为缴款数额，要求大小写金额一致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单位、数量按实填写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收缴标准按有关政策制度规定填写，金额即收缴项目金额系统自动计算填写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项目编码和收入项目名称，按财政部门对具体收入统一编制的规则填写，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由非税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系统自带；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经办人一般为执收单位开票员，执收单位确定后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由非税系统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自动生成；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备注栏一般应填写法定缴款义务人的代码，单位一般为统一社会信用代码，个人一般为身份证号；以及缴款业务须注明的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8351A"/>
    <w:rsid w:val="1DF83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2022-03-10T02:57:00Z</dcterms:created>
  <dc:creator>HZCS</dc:creator>
  <cp:lastModifiedBy>HZCS</cp:lastModifiedBy>
  <dcterms:modified xsi:type="dcterms:W3CDTF">2022-03-10T02:58:19Z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D9E214903720435B9716FA4E41CB8E80</vt:lpwstr>
  </property>
</Properties>
</file>