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小标宋" w:hAnsi="黑体" w:eastAsia="小标宋"/>
          <w:b/>
          <w:sz w:val="44"/>
          <w:szCs w:val="44"/>
        </w:rPr>
      </w:pPr>
      <w:r>
        <w:rPr>
          <w:rFonts w:hint="eastAsia" w:ascii="小标宋" w:hAnsi="黑体" w:eastAsia="小标宋"/>
          <w:b/>
          <w:sz w:val="44"/>
          <w:szCs w:val="44"/>
        </w:rPr>
        <w:t>杭州市</w:t>
      </w:r>
      <w:bookmarkStart w:id="0" w:name="hallSendFileTitle"/>
      <w:r>
        <w:rPr>
          <w:rFonts w:hint="eastAsia" w:ascii="小标宋" w:hAnsi="黑体" w:eastAsia="小标宋"/>
          <w:b/>
          <w:sz w:val="44"/>
          <w:szCs w:val="44"/>
        </w:rPr>
        <w:t>财政局关于进一步规范市级行政事业</w:t>
      </w:r>
    </w:p>
    <w:p>
      <w:pPr>
        <w:snapToGrid w:val="0"/>
        <w:jc w:val="center"/>
        <w:rPr>
          <w:rFonts w:hint="eastAsia" w:ascii="小标宋" w:hAnsi="黑体" w:eastAsia="小标宋"/>
          <w:b/>
          <w:sz w:val="44"/>
          <w:szCs w:val="44"/>
        </w:rPr>
      </w:pPr>
      <w:r>
        <w:rPr>
          <w:rFonts w:hint="eastAsia" w:ascii="小标宋" w:hAnsi="黑体" w:eastAsia="小标宋"/>
          <w:b/>
          <w:sz w:val="44"/>
          <w:szCs w:val="44"/>
        </w:rPr>
        <w:t>单位公款竞争性存放管理的通知</w:t>
      </w:r>
      <w:bookmarkEnd w:id="0"/>
    </w:p>
    <w:p>
      <w:pPr>
        <w:snapToGrid w:val="0"/>
        <w:jc w:val="center"/>
        <w:rPr>
          <w:rFonts w:hint="eastAsia" w:ascii="楷体" w:hAnsi="楷体" w:eastAsia="楷体"/>
          <w:sz w:val="32"/>
          <w:szCs w:val="32"/>
        </w:rPr>
      </w:pPr>
      <w:r>
        <w:rPr>
          <w:rFonts w:hint="eastAsia" w:ascii="楷体" w:hAnsi="楷体" w:eastAsia="楷体"/>
          <w:sz w:val="32"/>
          <w:szCs w:val="32"/>
        </w:rPr>
        <w:t>(征求意见稿)</w:t>
      </w:r>
    </w:p>
    <w:p>
      <w:pPr>
        <w:spacing w:line="640" w:lineRule="exact"/>
        <w:rPr>
          <w:rFonts w:hint="eastAsia" w:ascii="仿宋_GB2312" w:eastAsia="仿宋_GB2312"/>
          <w:sz w:val="24"/>
          <w:szCs w:val="24"/>
        </w:rPr>
      </w:pPr>
    </w:p>
    <w:p>
      <w:pPr>
        <w:spacing w:line="600" w:lineRule="exact"/>
        <w:jc w:val="left"/>
        <w:rPr>
          <w:rFonts w:hint="eastAsia" w:ascii="仿宋_GB2312" w:hAnsi="宋体" w:eastAsia="仿宋_GB2312"/>
          <w:sz w:val="32"/>
          <w:szCs w:val="32"/>
        </w:rPr>
      </w:pPr>
      <w:bookmarkStart w:id="1" w:name="hallSendFileMainSend"/>
      <w:r>
        <w:rPr>
          <w:rFonts w:hint="eastAsia" w:ascii="仿宋_GB2312" w:hAnsi="宋体" w:eastAsia="仿宋_GB2312"/>
          <w:sz w:val="32"/>
          <w:szCs w:val="32"/>
        </w:rPr>
        <w:t>各区、县（市）人民政府，市政府各部门、直属各单位</w:t>
      </w:r>
      <w:bookmarkEnd w:id="1"/>
      <w:r>
        <w:rPr>
          <w:rFonts w:hint="eastAsia" w:ascii="仿宋_GB2312" w:hAnsi="宋体" w:eastAsia="仿宋_GB2312"/>
          <w:sz w:val="32"/>
          <w:szCs w:val="32"/>
        </w:rPr>
        <w:t>：</w:t>
      </w:r>
    </w:p>
    <w:p>
      <w:pPr>
        <w:snapToGrid w:val="0"/>
        <w:spacing w:line="640" w:lineRule="exact"/>
        <w:ind w:firstLine="640"/>
        <w:rPr>
          <w:rFonts w:hint="eastAsia" w:ascii="仿宋_GB2312" w:hAnsi="宋体" w:eastAsia="仿宋_GB2312"/>
          <w:sz w:val="32"/>
          <w:szCs w:val="32"/>
        </w:rPr>
      </w:pPr>
      <w:bookmarkStart w:id="2" w:name="hallSendContent"/>
      <w:bookmarkEnd w:id="2"/>
      <w:r>
        <w:rPr>
          <w:rFonts w:hint="eastAsia" w:ascii="仿宋_GB2312" w:hAnsi="宋体" w:eastAsia="仿宋_GB2312"/>
          <w:sz w:val="32"/>
          <w:szCs w:val="32"/>
        </w:rPr>
        <w:t>为进一步完善我市市级行政事业单位公款存放管理，按照《财政部关于进一步加强财政部门和预算单位资金存放管理的指导意见》（财库〔2017〕76号）、《浙江省财政厅关于进一步规范省级行政事业单位公款竞争性存放管理的通知》（</w:t>
      </w:r>
      <w:bookmarkStart w:id="3" w:name="hallSendFileSendNo"/>
      <w:r>
        <w:rPr>
          <w:rFonts w:hint="eastAsia" w:ascii="仿宋_GB2312" w:hAnsi="宋体" w:eastAsia="仿宋_GB2312" w:cs="仿宋_GB2312"/>
          <w:sz w:val="32"/>
          <w:szCs w:val="32"/>
        </w:rPr>
        <w:t>浙财预执〔2018〕5号</w:t>
      </w:r>
      <w:bookmarkEnd w:id="3"/>
      <w:r>
        <w:rPr>
          <w:rFonts w:hint="eastAsia" w:ascii="仿宋_GB2312" w:hAnsi="宋体" w:eastAsia="仿宋_GB2312"/>
          <w:sz w:val="32"/>
          <w:szCs w:val="32"/>
        </w:rPr>
        <w:t>）要求, 结合《杭州市市级行政事业单位公款竞争性存放管理暂行办法》（</w:t>
      </w:r>
      <w:r>
        <w:rPr>
          <w:rFonts w:hint="eastAsia" w:ascii="仿宋_GB2312" w:hAnsi="宋体" w:eastAsia="仿宋_GB2312"/>
          <w:color w:val="000000"/>
          <w:sz w:val="32"/>
          <w:szCs w:val="32"/>
        </w:rPr>
        <w:t>杭政办函〔2015〕117号）（以下简称《暂行办法》）实际执行情况,</w:t>
      </w:r>
      <w:r>
        <w:rPr>
          <w:rFonts w:hint="eastAsia" w:ascii="仿宋_GB2312" w:hAnsi="宋体" w:eastAsia="仿宋_GB2312"/>
          <w:sz w:val="32"/>
          <w:szCs w:val="32"/>
        </w:rPr>
        <w:t>经市政府批准，现就有关事项通知如下：</w:t>
      </w:r>
    </w:p>
    <w:p>
      <w:pPr>
        <w:snapToGrid w:val="0"/>
        <w:spacing w:line="640" w:lineRule="exact"/>
        <w:ind w:firstLine="640"/>
        <w:rPr>
          <w:rFonts w:hint="eastAsia" w:ascii="仿宋_GB2312" w:hAnsi="宋体" w:eastAsia="仿宋_GB2312"/>
          <w:sz w:val="32"/>
          <w:szCs w:val="32"/>
        </w:rPr>
      </w:pPr>
      <w:r>
        <w:rPr>
          <w:rFonts w:hint="eastAsia" w:ascii="仿宋_GB2312" w:hAnsi="宋体" w:eastAsia="仿宋_GB2312"/>
          <w:sz w:val="32"/>
          <w:szCs w:val="32"/>
        </w:rPr>
        <w:t>一、提高公款存放规范性</w:t>
      </w:r>
    </w:p>
    <w:p>
      <w:pPr>
        <w:snapToGrid w:val="0"/>
        <w:spacing w:line="640" w:lineRule="exact"/>
        <w:ind w:firstLine="640"/>
        <w:rPr>
          <w:rFonts w:hint="eastAsia" w:ascii="仿宋_GB2312" w:hAnsi="宋体" w:eastAsia="仿宋_GB2312"/>
          <w:sz w:val="32"/>
          <w:szCs w:val="32"/>
        </w:rPr>
      </w:pPr>
      <w:r>
        <w:rPr>
          <w:rFonts w:hint="eastAsia" w:ascii="仿宋_GB2312" w:hAnsi="宋体" w:eastAsia="仿宋_GB2312" w:cs="仿宋_GB2312"/>
          <w:sz w:val="32"/>
          <w:szCs w:val="32"/>
        </w:rPr>
        <w:t>市级行政事业单位取得的本级财政补助资金应严格执行盘活财政存量资金有关规定，不得转存定期存款。</w:t>
      </w:r>
      <w:r>
        <w:rPr>
          <w:rFonts w:hint="eastAsia" w:ascii="仿宋_GB2312" w:hAnsi="宋体" w:eastAsia="仿宋_GB2312"/>
          <w:sz w:val="32"/>
          <w:szCs w:val="32"/>
        </w:rPr>
        <w:t>市级</w:t>
      </w:r>
      <w:r>
        <w:rPr>
          <w:rFonts w:hint="eastAsia" w:ascii="仿宋_GB2312" w:hAnsi="宋体" w:eastAsia="仿宋_GB2312" w:cs="仿宋_GB2312"/>
          <w:sz w:val="32"/>
          <w:szCs w:val="32"/>
        </w:rPr>
        <w:t>行政事业单位不得将按有关规定收取的非税收入转为定期存款;不得采取购买理财产品的方式存放资金。</w:t>
      </w:r>
    </w:p>
    <w:p>
      <w:pPr>
        <w:snapToGrid w:val="0"/>
        <w:spacing w:line="640" w:lineRule="exact"/>
        <w:ind w:firstLine="640"/>
        <w:rPr>
          <w:rFonts w:hint="eastAsia" w:ascii="仿宋_GB2312" w:hAnsi="宋体" w:eastAsia="仿宋_GB2312"/>
          <w:sz w:val="32"/>
          <w:szCs w:val="32"/>
        </w:rPr>
      </w:pPr>
      <w:r>
        <w:rPr>
          <w:rFonts w:hint="eastAsia" w:ascii="仿宋_GB2312" w:hAnsi="宋体" w:eastAsia="仿宋_GB2312"/>
          <w:sz w:val="32"/>
          <w:szCs w:val="32"/>
        </w:rPr>
        <w:t>二、加强公款竞争性存放管理</w:t>
      </w:r>
    </w:p>
    <w:p>
      <w:pPr>
        <w:snapToGrid w:val="0"/>
        <w:spacing w:line="640" w:lineRule="exact"/>
        <w:ind w:firstLine="640"/>
        <w:rPr>
          <w:rFonts w:hint="eastAsia" w:ascii="仿宋_GB2312" w:hAnsi="宋体" w:eastAsia="仿宋_GB2312"/>
          <w:sz w:val="32"/>
          <w:szCs w:val="32"/>
        </w:rPr>
      </w:pPr>
      <w:r>
        <w:rPr>
          <w:rFonts w:hint="eastAsia" w:ascii="仿宋_GB2312" w:hAnsi="宋体" w:eastAsia="仿宋_GB2312"/>
          <w:sz w:val="32"/>
          <w:szCs w:val="32"/>
        </w:rPr>
        <w:t>（一）统一采用综合评分法</w:t>
      </w:r>
    </w:p>
    <w:p>
      <w:pPr>
        <w:snapToGrid w:val="0"/>
        <w:spacing w:line="640" w:lineRule="exact"/>
        <w:ind w:firstLine="574"/>
        <w:rPr>
          <w:rFonts w:hint="eastAsia" w:ascii="仿宋_GB2312" w:hAnsi="宋体" w:eastAsia="仿宋_GB2312" w:cs="Arial"/>
          <w:bCs/>
          <w:spacing w:val="8"/>
          <w:kern w:val="0"/>
          <w:sz w:val="32"/>
          <w:szCs w:val="32"/>
        </w:rPr>
      </w:pPr>
      <w:r>
        <w:rPr>
          <w:rFonts w:hint="eastAsia" w:ascii="仿宋_GB2312" w:hAnsi="宋体" w:eastAsia="仿宋_GB2312" w:cs="Arial"/>
          <w:bCs/>
          <w:spacing w:val="8"/>
          <w:kern w:val="0"/>
          <w:sz w:val="32"/>
          <w:szCs w:val="32"/>
        </w:rPr>
        <w:t>账户和定期存款招标的评标方法</w:t>
      </w:r>
      <w:r>
        <w:rPr>
          <w:rFonts w:hint="eastAsia" w:ascii="仿宋_GB2312" w:hAnsi="宋体" w:eastAsia="仿宋_GB2312" w:cs="仿宋_GB2312"/>
          <w:sz w:val="32"/>
          <w:szCs w:val="32"/>
        </w:rPr>
        <w:t>统一采用</w:t>
      </w:r>
      <w:r>
        <w:rPr>
          <w:rFonts w:hint="eastAsia" w:ascii="仿宋_GB2312" w:hAnsi="宋体" w:eastAsia="仿宋_GB2312" w:cs="Arial"/>
          <w:bCs/>
          <w:spacing w:val="8"/>
          <w:kern w:val="0"/>
          <w:sz w:val="32"/>
          <w:szCs w:val="32"/>
        </w:rPr>
        <w:t>综合评分法，根据评分结果择优确定中标银行。评分指标应包括各竞标银行经营状况、服务水平、利率水平和经济贡献度等方面指标。监管评级作为银行准入条件，不纳入综合评分指标。经营状况方面的指标应能反映银行的资产质量、偿付能力、运营能力、内部控制水平等。服务水平方面的指标应能反映银行提供支付结算、对账、分账核算等服务的能力和水平。利率水平主要指活期及定期存款利率等，各期利率应当符合国家利率政策规定。</w:t>
      </w:r>
      <w:r>
        <w:rPr>
          <w:rFonts w:hint="eastAsia" w:ascii="仿宋_GB2312" w:hAnsi="宋体" w:eastAsia="仿宋_GB2312"/>
          <w:sz w:val="32"/>
          <w:szCs w:val="32"/>
        </w:rPr>
        <w:t>经济发展贡献度</w:t>
      </w:r>
      <w:r>
        <w:rPr>
          <w:rFonts w:hint="eastAsia" w:ascii="仿宋_GB2312" w:hAnsi="宋体" w:eastAsia="仿宋_GB2312" w:cs="Arial"/>
          <w:bCs/>
          <w:spacing w:val="8"/>
          <w:kern w:val="0"/>
          <w:sz w:val="32"/>
          <w:szCs w:val="32"/>
        </w:rPr>
        <w:t>方面的指标</w:t>
      </w:r>
      <w:r>
        <w:rPr>
          <w:rFonts w:hint="eastAsia" w:ascii="仿宋_GB2312" w:hAnsi="宋体" w:eastAsia="仿宋_GB2312"/>
          <w:sz w:val="32"/>
          <w:szCs w:val="32"/>
        </w:rPr>
        <w:t>应</w:t>
      </w:r>
      <w:r>
        <w:rPr>
          <w:rFonts w:hint="eastAsia" w:ascii="仿宋_GB2312" w:hAnsi="宋体" w:eastAsia="仿宋_GB2312" w:cs="Arial"/>
          <w:bCs/>
          <w:spacing w:val="8"/>
          <w:kern w:val="0"/>
          <w:sz w:val="32"/>
          <w:szCs w:val="32"/>
        </w:rPr>
        <w:t>反映银行对我市</w:t>
      </w:r>
      <w:r>
        <w:rPr>
          <w:rFonts w:hint="eastAsia" w:ascii="仿宋_GB2312" w:hAnsi="宋体" w:eastAsia="仿宋_GB2312" w:cs="仿宋"/>
          <w:sz w:val="32"/>
          <w:szCs w:val="32"/>
        </w:rPr>
        <w:t>经济发展、重点事业等支持情况</w:t>
      </w:r>
      <w:r>
        <w:rPr>
          <w:rFonts w:hint="eastAsia" w:ascii="仿宋_GB2312" w:hAnsi="宋体" w:eastAsia="仿宋_GB2312" w:cs="Arial"/>
          <w:bCs/>
          <w:spacing w:val="8"/>
          <w:kern w:val="0"/>
          <w:sz w:val="32"/>
          <w:szCs w:val="32"/>
        </w:rPr>
        <w:t>，由银行</w:t>
      </w:r>
      <w:r>
        <w:rPr>
          <w:rFonts w:hint="eastAsia" w:ascii="仿宋_GB2312" w:hAnsi="宋体" w:eastAsia="仿宋_GB2312"/>
          <w:sz w:val="32"/>
          <w:szCs w:val="32"/>
        </w:rPr>
        <w:t xml:space="preserve">在杭州的纳税、贷款、债务融资工具发行、政府采购信用融资、支持实体经济发展、支持市级再担保体系运行等指标组成。 </w:t>
      </w:r>
    </w:p>
    <w:p>
      <w:pPr>
        <w:snapToGrid w:val="0"/>
        <w:spacing w:line="640" w:lineRule="exact"/>
        <w:ind w:firstLine="640"/>
        <w:rPr>
          <w:rFonts w:hint="eastAsia" w:ascii="仿宋_GB2312" w:hAnsi="宋体" w:eastAsia="仿宋_GB2312"/>
          <w:sz w:val="32"/>
          <w:szCs w:val="32"/>
        </w:rPr>
      </w:pPr>
      <w:r>
        <w:rPr>
          <w:rFonts w:hint="eastAsia" w:ascii="仿宋_GB2312" w:hAnsi="宋体" w:eastAsia="仿宋_GB2312" w:cs="Arial"/>
          <w:bCs/>
          <w:spacing w:val="8"/>
          <w:kern w:val="0"/>
          <w:sz w:val="32"/>
          <w:szCs w:val="32"/>
        </w:rPr>
        <w:t>招标单位应按照公平公正原则科学合理设置具体指标及分值权重，</w:t>
      </w:r>
      <w:r>
        <w:rPr>
          <w:rFonts w:hint="eastAsia" w:ascii="仿宋_GB2312" w:hAnsi="宋体" w:eastAsia="仿宋_GB2312"/>
          <w:sz w:val="32"/>
          <w:szCs w:val="32"/>
        </w:rPr>
        <w:t>其中</w:t>
      </w:r>
      <w:r>
        <w:rPr>
          <w:rFonts w:hint="eastAsia" w:ascii="仿宋_GB2312" w:hAnsi="宋体" w:eastAsia="仿宋_GB2312" w:cs="Arial"/>
          <w:bCs/>
          <w:spacing w:val="8"/>
          <w:kern w:val="0"/>
          <w:sz w:val="32"/>
          <w:szCs w:val="32"/>
        </w:rPr>
        <w:t>利率水平指标的分值权重不得高于综合评分的40%，经济贡献度指标的分值权重不得低于综合评分的30%。</w:t>
      </w:r>
      <w:r>
        <w:rPr>
          <w:rFonts w:hint="eastAsia" w:ascii="仿宋_GB2312" w:hAnsi="宋体" w:eastAsia="仿宋_GB2312"/>
          <w:sz w:val="32"/>
          <w:szCs w:val="32"/>
        </w:rPr>
        <w:t>招标单位应依据有关法律法规规定，结合自身实际和管理要求，制定其他评分指标和评分标准。</w:t>
      </w:r>
    </w:p>
    <w:p>
      <w:pPr>
        <w:pStyle w:val="9"/>
        <w:tabs>
          <w:tab w:val="left" w:pos="1134"/>
        </w:tabs>
        <w:spacing w:line="640" w:lineRule="exact"/>
        <w:ind w:firstLine="820" w:firstLineChars="250"/>
        <w:rPr>
          <w:rFonts w:hint="eastAsia" w:ascii="仿宋_GB2312" w:hAnsi="宋体" w:eastAsia="仿宋_GB2312" w:cs="黑体"/>
          <w:bCs/>
          <w:spacing w:val="8"/>
          <w:kern w:val="0"/>
          <w:sz w:val="32"/>
          <w:szCs w:val="32"/>
        </w:rPr>
      </w:pPr>
      <w:r>
        <w:rPr>
          <w:rFonts w:hint="eastAsia" w:ascii="仿宋_GB2312" w:hAnsi="宋体" w:eastAsia="仿宋_GB2312" w:cs="黑体"/>
          <w:bCs/>
          <w:spacing w:val="8"/>
          <w:kern w:val="0"/>
          <w:sz w:val="32"/>
          <w:szCs w:val="32"/>
        </w:rPr>
        <w:t>（二）明确账户续签决策方式</w:t>
      </w:r>
    </w:p>
    <w:p>
      <w:pPr>
        <w:pStyle w:val="9"/>
        <w:tabs>
          <w:tab w:val="left" w:pos="1134"/>
        </w:tabs>
        <w:spacing w:line="640" w:lineRule="exact"/>
        <w:ind w:firstLine="780" w:firstLineChars="250"/>
        <w:rPr>
          <w:rFonts w:hint="eastAsia" w:ascii="仿宋_GB2312" w:hAnsi="宋体" w:eastAsia="仿宋_GB2312" w:cs="仿宋_GB2312"/>
          <w:sz w:val="32"/>
          <w:szCs w:val="32"/>
        </w:rPr>
      </w:pPr>
      <w:r>
        <w:rPr>
          <w:rFonts w:hint="eastAsia" w:ascii="仿宋_GB2312" w:hAnsi="宋体" w:eastAsia="仿宋_GB2312" w:cs="Arial"/>
          <w:color w:val="000000"/>
          <w:kern w:val="0"/>
          <w:sz w:val="32"/>
          <w:szCs w:val="32"/>
        </w:rPr>
        <w:t>招标确定的银行账户合同到期后，行政事业单位应对原开户银行进行评估，经过“三重一大”集体研究决策是否延续合同，决定不改变原中标银行的，单位应与原开户银行重新签订账户管理合同，可不重新组织招标；决定重新选择开户银行的，需按规定公开招投标。</w:t>
      </w:r>
    </w:p>
    <w:p>
      <w:pPr>
        <w:snapToGrid w:val="0"/>
        <w:spacing w:line="640" w:lineRule="exact"/>
        <w:ind w:firstLine="640"/>
        <w:rPr>
          <w:rFonts w:hint="eastAsia" w:ascii="仿宋_GB2312" w:hAnsi="宋体" w:eastAsia="仿宋_GB2312" w:cs="仿宋_GB2312"/>
          <w:sz w:val="32"/>
          <w:szCs w:val="32"/>
        </w:rPr>
      </w:pPr>
      <w:r>
        <w:rPr>
          <w:rFonts w:hint="eastAsia" w:ascii="仿宋_GB2312" w:hAnsi="宋体" w:eastAsia="仿宋_GB2312"/>
          <w:sz w:val="32"/>
          <w:szCs w:val="32"/>
        </w:rPr>
        <w:t>（三）</w:t>
      </w:r>
      <w:r>
        <w:rPr>
          <w:rFonts w:hint="eastAsia" w:ascii="仿宋_GB2312" w:hAnsi="宋体" w:eastAsia="仿宋_GB2312" w:cs="仿宋_GB2312"/>
          <w:sz w:val="32"/>
          <w:szCs w:val="32"/>
        </w:rPr>
        <w:t>规范公告时间及格式</w:t>
      </w:r>
    </w:p>
    <w:p>
      <w:pPr>
        <w:pStyle w:val="9"/>
        <w:spacing w:line="640" w:lineRule="exact"/>
        <w:ind w:firstLine="624"/>
        <w:rPr>
          <w:rFonts w:hint="eastAsia" w:ascii="仿宋_GB2312" w:hAnsi="宋体" w:eastAsia="仿宋_GB2312" w:cs="仿宋_GB2312"/>
          <w:sz w:val="32"/>
          <w:szCs w:val="32"/>
        </w:rPr>
      </w:pPr>
      <w:r>
        <w:rPr>
          <w:rFonts w:hint="eastAsia" w:ascii="仿宋_GB2312" w:hAnsi="宋体" w:eastAsia="仿宋_GB2312" w:cs="仿宋_GB2312"/>
          <w:sz w:val="32"/>
          <w:szCs w:val="32"/>
        </w:rPr>
        <w:t>市级行政事业单位或招标代理机构开展公款存放招投标工作，应确保竞争性存放参与银行编制投标文件所需要的合理时间，开始发放招标文件至投标人提交投标文件截止之日不得少于10个工作日。</w:t>
      </w:r>
    </w:p>
    <w:p>
      <w:pPr>
        <w:pStyle w:val="9"/>
        <w:spacing w:line="640" w:lineRule="exact"/>
        <w:ind w:firstLine="624"/>
        <w:rPr>
          <w:rFonts w:hint="eastAsia" w:ascii="仿宋_GB2312" w:hAnsi="宋体" w:eastAsia="仿宋_GB2312" w:cs="仿宋_GB2312"/>
          <w:sz w:val="32"/>
          <w:szCs w:val="32"/>
        </w:rPr>
      </w:pPr>
      <w:r>
        <w:rPr>
          <w:rFonts w:hint="eastAsia" w:ascii="仿宋_GB2312" w:hAnsi="宋体" w:eastAsia="仿宋_GB2312"/>
          <w:sz w:val="32"/>
          <w:szCs w:val="32"/>
        </w:rPr>
        <w:t>招标单位或委托招标代理机构</w:t>
      </w:r>
      <w:r>
        <w:rPr>
          <w:rFonts w:hint="eastAsia" w:ascii="仿宋_GB2312" w:hAnsi="宋体" w:eastAsia="仿宋_GB2312" w:cs="仿宋_GB2312"/>
          <w:sz w:val="32"/>
          <w:szCs w:val="32"/>
        </w:rPr>
        <w:t>可以对已发出的招标文件进行必要的澄清或者修改。澄清或者修改的内容可能影响投标文件编制的，</w:t>
      </w:r>
      <w:r>
        <w:rPr>
          <w:rFonts w:hint="eastAsia" w:ascii="仿宋_GB2312" w:hAnsi="宋体" w:eastAsia="仿宋_GB2312"/>
          <w:sz w:val="32"/>
          <w:szCs w:val="32"/>
        </w:rPr>
        <w:t>招标单位或委托招标代理机构</w:t>
      </w:r>
      <w:r>
        <w:rPr>
          <w:rFonts w:hint="eastAsia" w:ascii="仿宋_GB2312" w:hAnsi="宋体" w:eastAsia="仿宋_GB2312" w:cs="仿宋_GB2312"/>
          <w:sz w:val="32"/>
          <w:szCs w:val="32"/>
        </w:rPr>
        <w:t>应当在指定网站发布更正公告或以书面形式通知所有获取招标文件的潜在投标人，并且应当顺延提交投标文件的截止时间，投标截止时间自发布更正公告或书面变更通知日起不得少于10个工作日。</w:t>
      </w:r>
    </w:p>
    <w:p>
      <w:pPr>
        <w:pStyle w:val="9"/>
        <w:tabs>
          <w:tab w:val="left" w:pos="1134"/>
        </w:tabs>
        <w:spacing w:line="640" w:lineRule="exact"/>
        <w:ind w:firstLine="780" w:firstLineChars="250"/>
        <w:rPr>
          <w:rFonts w:hint="eastAsia" w:ascii="仿宋_GB2312" w:hAnsi="宋体" w:eastAsia="仿宋_GB2312" w:cs="仿宋_GB2312"/>
          <w:sz w:val="32"/>
          <w:szCs w:val="32"/>
        </w:rPr>
      </w:pPr>
      <w:r>
        <w:rPr>
          <w:rFonts w:hint="eastAsia" w:ascii="仿宋_GB2312" w:hAnsi="宋体" w:eastAsia="仿宋_GB2312" w:cs="仿宋_GB2312"/>
          <w:sz w:val="32"/>
          <w:szCs w:val="32"/>
        </w:rPr>
        <w:t xml:space="preserve">招标公告、中标公告、更正公告可参照本通知规定格式进行公告（详见附件1、2、3，公告内容应包括但不限于附件格式所列内容）。 </w:t>
      </w:r>
    </w:p>
    <w:p>
      <w:pPr>
        <w:snapToGrid w:val="0"/>
        <w:spacing w:line="640" w:lineRule="exact"/>
        <w:ind w:firstLine="640"/>
        <w:rPr>
          <w:rFonts w:hint="eastAsia" w:ascii="仿宋_GB2312" w:hAnsi="宋体" w:eastAsia="仿宋_GB2312"/>
          <w:sz w:val="32"/>
          <w:szCs w:val="32"/>
        </w:rPr>
      </w:pPr>
      <w:r>
        <w:rPr>
          <w:rFonts w:hint="eastAsia" w:ascii="仿宋_GB2312" w:hAnsi="宋体" w:eastAsia="仿宋_GB2312"/>
          <w:sz w:val="32"/>
          <w:szCs w:val="32"/>
        </w:rPr>
        <w:t>（四）调整银行准入条件</w:t>
      </w:r>
    </w:p>
    <w:p>
      <w:pPr>
        <w:snapToGrid w:val="0"/>
        <w:spacing w:line="640" w:lineRule="exact"/>
        <w:ind w:firstLine="640"/>
        <w:rPr>
          <w:rFonts w:hint="eastAsia" w:ascii="仿宋_GB2312" w:hAnsi="宋体" w:eastAsia="仿宋_GB2312"/>
          <w:sz w:val="32"/>
          <w:szCs w:val="32"/>
        </w:rPr>
      </w:pPr>
      <w:r>
        <w:rPr>
          <w:rFonts w:hint="eastAsia" w:ascii="仿宋_GB2312" w:hAnsi="宋体" w:eastAsia="仿宋_GB2312" w:cs="仿宋_GB2312"/>
          <w:sz w:val="32"/>
          <w:szCs w:val="32"/>
        </w:rPr>
        <w:t>《暂行办法》第四部分组织实施第三点投标条件中规定参与公款竞争性存放投标银行应具备基本条件第一款调整为：</w:t>
      </w:r>
      <w:r>
        <w:rPr>
          <w:rFonts w:hint="eastAsia" w:ascii="仿宋_GB2312" w:hAnsi="宋体" w:eastAsia="仿宋_GB2312"/>
          <w:sz w:val="32"/>
          <w:szCs w:val="32"/>
        </w:rPr>
        <w:t>在杭州地区设有分支机构，人行杭州中心支行上年度综合评价B级及以上，对地方经济有特殊贡献的可适当放宽，但须报市政府批准。</w:t>
      </w:r>
      <w:r>
        <w:rPr>
          <w:rFonts w:hint="eastAsia" w:ascii="仿宋_GB2312" w:hAnsi="宋体" w:eastAsia="仿宋_GB2312" w:cs="仿宋_GB2312"/>
          <w:sz w:val="32"/>
          <w:szCs w:val="32"/>
        </w:rPr>
        <w:t>投标银行应具备的</w:t>
      </w:r>
      <w:r>
        <w:rPr>
          <w:rFonts w:hint="eastAsia" w:ascii="仿宋_GB2312" w:hAnsi="宋体" w:eastAsia="仿宋_GB2312"/>
          <w:sz w:val="32"/>
          <w:szCs w:val="32"/>
        </w:rPr>
        <w:t>其他基本条件保持不变。</w:t>
      </w:r>
    </w:p>
    <w:p>
      <w:pPr>
        <w:pStyle w:val="9"/>
        <w:tabs>
          <w:tab w:val="left" w:pos="1134"/>
        </w:tabs>
        <w:spacing w:line="640" w:lineRule="exact"/>
        <w:ind w:firstLine="780" w:firstLineChars="250"/>
        <w:rPr>
          <w:rFonts w:hint="eastAsia" w:ascii="仿宋_GB2312" w:hAnsi="宋体" w:eastAsia="仿宋_GB2312" w:cs="仿宋_GB2312"/>
          <w:sz w:val="32"/>
          <w:szCs w:val="32"/>
        </w:rPr>
      </w:pPr>
      <w:r>
        <w:rPr>
          <w:rFonts w:hint="eastAsia" w:ascii="仿宋_GB2312" w:hAnsi="宋体" w:eastAsia="仿宋_GB2312" w:cs="仿宋_GB2312"/>
          <w:sz w:val="32"/>
          <w:szCs w:val="32"/>
        </w:rPr>
        <w:t>三、防范资金存放银行利益输送行为</w:t>
      </w:r>
    </w:p>
    <w:p>
      <w:pPr>
        <w:pStyle w:val="9"/>
        <w:tabs>
          <w:tab w:val="left" w:pos="1134"/>
        </w:tabs>
        <w:spacing w:line="640" w:lineRule="exact"/>
        <w:ind w:firstLine="780" w:firstLineChars="250"/>
        <w:rPr>
          <w:rFonts w:hint="eastAsia" w:ascii="仿宋_GB2312" w:hAnsi="宋体" w:eastAsia="仿宋_GB2312" w:cs="仿宋_GB2312"/>
          <w:sz w:val="32"/>
          <w:szCs w:val="32"/>
        </w:rPr>
      </w:pPr>
      <w:r>
        <w:rPr>
          <w:rFonts w:hint="eastAsia" w:ascii="仿宋_GB2312" w:hAnsi="宋体" w:eastAsia="仿宋_GB2312" w:cs="仿宋_GB2312"/>
          <w:sz w:val="32"/>
          <w:szCs w:val="32"/>
        </w:rPr>
        <w:t>（一）要求出具廉政承诺书</w:t>
      </w:r>
    </w:p>
    <w:p>
      <w:pPr>
        <w:spacing w:line="640" w:lineRule="exact"/>
        <w:ind w:firstLine="623"/>
        <w:rPr>
          <w:rFonts w:hint="eastAsia" w:ascii="仿宋_GB2312" w:hAnsi="宋体" w:eastAsia="仿宋_GB2312"/>
          <w:color w:val="000000"/>
          <w:sz w:val="32"/>
          <w:szCs w:val="32"/>
        </w:rPr>
      </w:pPr>
      <w:r>
        <w:rPr>
          <w:rFonts w:hint="eastAsia" w:ascii="仿宋_GB2312" w:hAnsi="宋体" w:eastAsia="仿宋_GB2312" w:cs="仿宋_GB2312"/>
          <w:sz w:val="32"/>
          <w:szCs w:val="32"/>
        </w:rPr>
        <w:t>招标单位确定中标银行时，应当要求银行出具廉政承诺书（格式见附件4），承诺不得向单位领导以及相关业务部门负责人输送任何利益，不得将资金存放与上述人员在本行的配偶、子女及其配偶以及其他特定关系人的业绩、收入挂钩。凡发现并经核实开户银行及资金存放银行未遵守廉政承诺或者在开户、资金存放中存在其他利益输送行为的，</w:t>
      </w:r>
      <w:r>
        <w:rPr>
          <w:rFonts w:hint="eastAsia" w:ascii="仿宋_GB2312" w:hAnsi="宋体" w:eastAsia="仿宋_GB2312"/>
          <w:color w:val="000000"/>
          <w:sz w:val="32"/>
          <w:szCs w:val="32"/>
        </w:rPr>
        <w:t>招标单位应当撤销账户、及时收回资金，并由市财政局进行通报，在一定期限内取消该银行参与行政事业单位公款竞争性存放的资格。</w:t>
      </w:r>
    </w:p>
    <w:p>
      <w:pPr>
        <w:pStyle w:val="9"/>
        <w:tabs>
          <w:tab w:val="left" w:pos="1134"/>
        </w:tabs>
        <w:spacing w:line="640" w:lineRule="exact"/>
        <w:ind w:firstLine="780" w:firstLineChars="250"/>
        <w:rPr>
          <w:rFonts w:hint="eastAsia" w:ascii="仿宋_GB2312" w:hAnsi="宋体" w:eastAsia="仿宋_GB2312" w:cs="仿宋_GB2312"/>
          <w:sz w:val="32"/>
          <w:szCs w:val="32"/>
        </w:rPr>
      </w:pPr>
      <w:r>
        <w:rPr>
          <w:rFonts w:hint="eastAsia" w:ascii="仿宋_GB2312" w:hAnsi="宋体" w:eastAsia="仿宋_GB2312" w:cs="仿宋_GB2312"/>
          <w:sz w:val="32"/>
          <w:szCs w:val="32"/>
        </w:rPr>
        <w:t>（二）禁止二次选择行为</w:t>
      </w:r>
    </w:p>
    <w:p>
      <w:pPr>
        <w:spacing w:line="640" w:lineRule="exact"/>
        <w:ind w:firstLine="623"/>
        <w:rPr>
          <w:rFonts w:hint="eastAsia" w:ascii="仿宋_GB2312" w:hAnsi="宋体" w:eastAsia="仿宋_GB2312" w:cs="仿宋_GB2312"/>
          <w:sz w:val="32"/>
          <w:szCs w:val="32"/>
        </w:rPr>
      </w:pPr>
      <w:r>
        <w:rPr>
          <w:rFonts w:hint="eastAsia" w:ascii="仿宋_GB2312" w:hAnsi="宋体" w:eastAsia="仿宋_GB2312" w:cs="仿宋_GB2312"/>
          <w:sz w:val="32"/>
          <w:szCs w:val="32"/>
        </w:rPr>
        <w:t>招标单位需在招标文件中明确中标银行数量及中标银行具体资金分配方案，禁止招标单位在入围银行中进行二次选择，杜绝发生利益输送、利益冲突行为。</w:t>
      </w:r>
    </w:p>
    <w:p>
      <w:pPr>
        <w:spacing w:line="640" w:lineRule="exact"/>
        <w:ind w:firstLine="623"/>
        <w:rPr>
          <w:rFonts w:hint="eastAsia" w:ascii="仿宋_GB2312" w:hAnsi="宋体" w:eastAsia="仿宋_GB2312" w:cs="仿宋_GB2312"/>
          <w:sz w:val="32"/>
          <w:szCs w:val="32"/>
        </w:rPr>
      </w:pPr>
      <w:r>
        <w:rPr>
          <w:rFonts w:hint="eastAsia" w:ascii="仿宋_GB2312" w:hAnsi="宋体" w:eastAsia="仿宋_GB2312" w:cs="仿宋_GB2312"/>
          <w:sz w:val="32"/>
          <w:szCs w:val="32"/>
        </w:rPr>
        <w:t>(三)</w:t>
      </w:r>
      <w:r>
        <w:rPr>
          <w:rFonts w:hint="eastAsia" w:ascii="仿宋_GB2312" w:hAnsi="宋体" w:eastAsia="仿宋_GB2312" w:cs="宋体"/>
          <w:color w:val="333333"/>
          <w:kern w:val="0"/>
          <w:sz w:val="32"/>
          <w:szCs w:val="32"/>
        </w:rPr>
        <w:t xml:space="preserve"> 自觉</w:t>
      </w:r>
      <w:r>
        <w:rPr>
          <w:rFonts w:hint="eastAsia" w:ascii="仿宋_GB2312" w:hAnsi="宋体" w:eastAsia="仿宋_GB2312"/>
          <w:kern w:val="0"/>
          <w:sz w:val="32"/>
          <w:szCs w:val="32"/>
        </w:rPr>
        <w:t>抵制不当交易</w:t>
      </w:r>
    </w:p>
    <w:p>
      <w:pPr>
        <w:spacing w:line="640" w:lineRule="exact"/>
        <w:ind w:firstLine="623"/>
        <w:rPr>
          <w:rFonts w:hint="eastAsia" w:ascii="仿宋_GB2312" w:hAnsi="宋体" w:eastAsia="仿宋_GB2312" w:cs="仿宋_GB2312"/>
          <w:sz w:val="32"/>
          <w:szCs w:val="32"/>
        </w:rPr>
      </w:pPr>
      <w:r>
        <w:rPr>
          <w:rFonts w:hint="eastAsia" w:ascii="仿宋_GB2312" w:hAnsi="宋体" w:eastAsia="仿宋_GB2312" w:cs="仿宋_GB2312"/>
          <w:sz w:val="32"/>
          <w:szCs w:val="32"/>
        </w:rPr>
        <w:t>招标单位应督促参与公款竞争性存放银行</w:t>
      </w:r>
      <w:r>
        <w:rPr>
          <w:rFonts w:hint="eastAsia" w:ascii="仿宋_GB2312" w:hAnsi="宋体" w:eastAsia="仿宋_GB2312" w:cs="宋体"/>
          <w:color w:val="333333"/>
          <w:kern w:val="0"/>
          <w:sz w:val="32"/>
          <w:szCs w:val="32"/>
        </w:rPr>
        <w:t>执行</w:t>
      </w:r>
      <w:r>
        <w:rPr>
          <w:rFonts w:hint="eastAsia" w:ascii="仿宋_GB2312" w:hAnsi="宋体" w:eastAsia="仿宋_GB2312" w:cs="Calibri"/>
          <w:color w:val="000000"/>
          <w:kern w:val="0"/>
          <w:sz w:val="32"/>
          <w:szCs w:val="32"/>
        </w:rPr>
        <w:t>中国银监会、人民银行相关规定</w:t>
      </w:r>
      <w:r>
        <w:rPr>
          <w:rFonts w:hint="eastAsia" w:ascii="仿宋_GB2312" w:hAnsi="宋体" w:eastAsia="仿宋_GB2312" w:cs="宋体"/>
          <w:color w:val="333333"/>
          <w:kern w:val="0"/>
          <w:sz w:val="32"/>
          <w:szCs w:val="32"/>
        </w:rPr>
        <w:t>，自觉</w:t>
      </w:r>
      <w:r>
        <w:rPr>
          <w:rFonts w:hint="eastAsia" w:ascii="仿宋_GB2312" w:hAnsi="宋体" w:eastAsia="仿宋_GB2312"/>
          <w:kern w:val="0"/>
          <w:sz w:val="32"/>
          <w:szCs w:val="32"/>
        </w:rPr>
        <w:t>抵制不当交易；不得提出</w:t>
      </w:r>
      <w:r>
        <w:rPr>
          <w:rFonts w:hint="eastAsia" w:ascii="仿宋_GB2312" w:hAnsi="宋体" w:eastAsia="仿宋_GB2312" w:cs="Calibri"/>
          <w:color w:val="000000"/>
          <w:kern w:val="0"/>
          <w:sz w:val="32"/>
          <w:szCs w:val="32"/>
        </w:rPr>
        <w:t>向招标单位捐赠、提供职工福利等不当要求。</w:t>
      </w:r>
    </w:p>
    <w:p>
      <w:pPr>
        <w:pStyle w:val="9"/>
        <w:spacing w:line="640" w:lineRule="exact"/>
        <w:ind w:firstLine="624"/>
        <w:rPr>
          <w:rFonts w:hint="eastAsia" w:ascii="仿宋_GB2312" w:hAnsi="宋体" w:eastAsia="仿宋_GB2312" w:cs="仿宋_GB2312"/>
          <w:sz w:val="32"/>
          <w:szCs w:val="32"/>
        </w:rPr>
      </w:pPr>
      <w:r>
        <w:rPr>
          <w:rFonts w:hint="eastAsia" w:ascii="仿宋_GB2312" w:hAnsi="宋体" w:eastAsia="仿宋_GB2312" w:cs="仿宋_GB2312"/>
          <w:sz w:val="32"/>
          <w:szCs w:val="32"/>
        </w:rPr>
        <w:t>四 、加强资金存放监管指导</w:t>
      </w:r>
    </w:p>
    <w:p>
      <w:pPr>
        <w:pStyle w:val="9"/>
        <w:tabs>
          <w:tab w:val="left" w:pos="1134"/>
        </w:tabs>
        <w:spacing w:line="640" w:lineRule="exact"/>
        <w:ind w:firstLine="780" w:firstLineChars="250"/>
        <w:rPr>
          <w:rFonts w:hint="eastAsia" w:ascii="仿宋_GB2312" w:hAnsi="宋体" w:eastAsia="仿宋_GB2312" w:cs="仿宋_GB2312"/>
          <w:sz w:val="32"/>
          <w:szCs w:val="32"/>
        </w:rPr>
      </w:pPr>
      <w:r>
        <w:rPr>
          <w:rFonts w:hint="eastAsia" w:ascii="仿宋_GB2312" w:hAnsi="宋体" w:eastAsia="仿宋_GB2312" w:cs="仿宋_GB2312"/>
          <w:sz w:val="32"/>
          <w:szCs w:val="32"/>
        </w:rPr>
        <w:t>各市级主管部门应加强对所属单位公款存放监管指导工作，并于每年1月底前汇总下属各单位情况后向市财政局报送本部门上年度《市级单位公款存放管理情况表》（见附件5）。各区、县（市）要结合本地实际情况，参照本通知对本级单位公款存放管理办法进行补充完善；各区、县（市）每年按照省厅要求于1月底前向市财政局报送本地区上年度《市县单位公款存放管理情况汇总表》（见附件6）。</w:t>
      </w:r>
    </w:p>
    <w:p>
      <w:pPr>
        <w:spacing w:line="640" w:lineRule="exact"/>
        <w:ind w:firstLine="560"/>
        <w:rPr>
          <w:rFonts w:hint="eastAsia" w:ascii="仿宋_GB2312" w:hAnsi="宋体" w:eastAsia="仿宋_GB2312" w:cs="仿宋_GB2312"/>
          <w:sz w:val="32"/>
          <w:szCs w:val="32"/>
        </w:rPr>
      </w:pPr>
      <w:r>
        <w:rPr>
          <w:rFonts w:hint="eastAsia" w:ascii="仿宋_GB2312" w:hAnsi="宋体" w:eastAsia="仿宋_GB2312" w:cs="仿宋_GB2312"/>
          <w:sz w:val="32"/>
          <w:szCs w:val="32"/>
        </w:rPr>
        <w:t>本通知自2019年1月1日起执行，《暂行办法》中已有规定与本通知不一致的，以本通知为准。</w:t>
      </w:r>
    </w:p>
    <w:p>
      <w:pPr>
        <w:spacing w:line="640" w:lineRule="exact"/>
        <w:ind w:firstLine="560"/>
        <w:rPr>
          <w:rFonts w:hint="eastAsia" w:ascii="仿宋_GB2312" w:hAnsi="宋体" w:eastAsia="仿宋_GB2312" w:cs="仿宋_GB2312"/>
          <w:sz w:val="32"/>
          <w:szCs w:val="32"/>
        </w:rPr>
      </w:pPr>
    </w:p>
    <w:p>
      <w:pPr>
        <w:spacing w:line="640" w:lineRule="exact"/>
        <w:ind w:firstLine="560"/>
        <w:rPr>
          <w:rFonts w:hint="eastAsia" w:ascii="仿宋_GB2312" w:hAnsi="仿宋" w:eastAsia="仿宋_GB2312" w:cs="仿宋_GB2312"/>
          <w:sz w:val="32"/>
          <w:szCs w:val="32"/>
        </w:rPr>
      </w:pPr>
    </w:p>
    <w:p>
      <w:pPr>
        <w:spacing w:line="640" w:lineRule="exact"/>
        <w:ind w:firstLine="560"/>
        <w:rPr>
          <w:rFonts w:hint="eastAsia" w:ascii="仿宋_GB2312" w:hAnsi="仿宋" w:eastAsia="仿宋_GB2312" w:cs="仿宋_GB2312"/>
          <w:sz w:val="32"/>
          <w:szCs w:val="32"/>
        </w:rPr>
      </w:pPr>
    </w:p>
    <w:p>
      <w:pPr>
        <w:spacing w:line="640" w:lineRule="exact"/>
        <w:ind w:firstLine="600"/>
        <w:rPr>
          <w:rFonts w:hint="eastAsia" w:ascii="仿宋_GB2312" w:eastAsia="仿宋_GB2312" w:cs="Arial" w:hAnsiTheme="minorEastAsia"/>
          <w:bCs/>
          <w:spacing w:val="8"/>
          <w:kern w:val="0"/>
          <w:sz w:val="32"/>
          <w:szCs w:val="32"/>
        </w:rPr>
      </w:pPr>
      <w:r>
        <w:rPr>
          <w:rFonts w:hint="eastAsia" w:ascii="仿宋_GB2312" w:eastAsia="仿宋_GB2312" w:cs="Arial" w:hAnsiTheme="minorEastAsia"/>
          <w:bCs/>
          <w:spacing w:val="8"/>
          <w:kern w:val="0"/>
          <w:sz w:val="32"/>
          <w:szCs w:val="32"/>
        </w:rPr>
        <w:t>附件：1.招标公告（模板）</w:t>
      </w:r>
    </w:p>
    <w:p>
      <w:pPr>
        <w:spacing w:line="640" w:lineRule="exact"/>
        <w:ind w:firstLine="800"/>
        <w:rPr>
          <w:rFonts w:hint="eastAsia" w:ascii="仿宋_GB2312" w:eastAsia="仿宋_GB2312" w:cs="Arial" w:hAnsiTheme="minorEastAsia"/>
          <w:bCs/>
          <w:spacing w:val="8"/>
          <w:kern w:val="0"/>
          <w:sz w:val="32"/>
          <w:szCs w:val="32"/>
        </w:rPr>
      </w:pPr>
      <w:r>
        <w:rPr>
          <w:rFonts w:hint="eastAsia" w:ascii="仿宋_GB2312" w:eastAsia="仿宋_GB2312" w:cs="Arial" w:hAnsiTheme="minorEastAsia"/>
          <w:bCs/>
          <w:kern w:val="0"/>
          <w:sz w:val="32"/>
          <w:szCs w:val="32"/>
        </w:rPr>
        <w:t xml:space="preserve">     </w:t>
      </w:r>
      <w:r>
        <w:rPr>
          <w:rFonts w:hint="eastAsia" w:ascii="仿宋_GB2312" w:eastAsia="仿宋_GB2312" w:cs="Arial" w:hAnsiTheme="minorEastAsia"/>
          <w:bCs/>
          <w:spacing w:val="8"/>
          <w:kern w:val="0"/>
          <w:sz w:val="32"/>
          <w:szCs w:val="32"/>
        </w:rPr>
        <w:t>2.中标公告（模板）</w:t>
      </w:r>
    </w:p>
    <w:p>
      <w:pPr>
        <w:spacing w:line="640" w:lineRule="exact"/>
        <w:ind w:firstLine="800"/>
        <w:rPr>
          <w:rFonts w:hint="eastAsia" w:ascii="仿宋_GB2312" w:eastAsia="仿宋_GB2312" w:cs="Arial" w:hAnsiTheme="minorEastAsia"/>
          <w:bCs/>
          <w:kern w:val="0"/>
          <w:sz w:val="32"/>
          <w:szCs w:val="32"/>
        </w:rPr>
      </w:pPr>
      <w:r>
        <w:rPr>
          <w:rFonts w:hint="eastAsia" w:ascii="仿宋_GB2312" w:eastAsia="仿宋_GB2312" w:cs="Arial" w:hAnsiTheme="minorEastAsia"/>
          <w:bCs/>
          <w:kern w:val="0"/>
          <w:sz w:val="32"/>
          <w:szCs w:val="32"/>
        </w:rPr>
        <w:t xml:space="preserve">     3.更正公告（模板）</w:t>
      </w:r>
      <w:bookmarkStart w:id="4" w:name="_GoBack"/>
      <w:bookmarkEnd w:id="4"/>
    </w:p>
    <w:p>
      <w:pPr>
        <w:spacing w:line="640" w:lineRule="exact"/>
        <w:ind w:firstLine="800"/>
        <w:rPr>
          <w:rFonts w:hint="eastAsia" w:ascii="仿宋_GB2312" w:eastAsia="仿宋_GB2312" w:cs="Arial" w:hAnsiTheme="minorEastAsia"/>
          <w:bCs/>
          <w:kern w:val="0"/>
          <w:sz w:val="32"/>
          <w:szCs w:val="32"/>
        </w:rPr>
      </w:pPr>
      <w:r>
        <w:rPr>
          <w:rFonts w:hint="eastAsia" w:ascii="仿宋_GB2312" w:eastAsia="仿宋_GB2312" w:cs="Arial" w:hAnsiTheme="minorEastAsia"/>
          <w:bCs/>
          <w:kern w:val="0"/>
          <w:sz w:val="32"/>
          <w:szCs w:val="32"/>
        </w:rPr>
        <w:t xml:space="preserve">     4.廉政承诺书（格式）</w:t>
      </w:r>
    </w:p>
    <w:p>
      <w:pPr>
        <w:spacing w:line="640" w:lineRule="exact"/>
        <w:ind w:firstLine="800"/>
        <w:rPr>
          <w:rFonts w:hint="eastAsia" w:ascii="仿宋_GB2312" w:eastAsia="仿宋_GB2312" w:cs="Arial" w:hAnsiTheme="minorEastAsia"/>
          <w:bCs/>
          <w:kern w:val="0"/>
          <w:sz w:val="32"/>
          <w:szCs w:val="32"/>
        </w:rPr>
      </w:pPr>
      <w:r>
        <w:rPr>
          <w:rFonts w:hint="eastAsia" w:ascii="仿宋_GB2312" w:eastAsia="仿宋_GB2312" w:cs="Arial" w:hAnsiTheme="minorEastAsia"/>
          <w:bCs/>
          <w:kern w:val="0"/>
          <w:sz w:val="32"/>
          <w:szCs w:val="32"/>
        </w:rPr>
        <w:t xml:space="preserve">     5.市级单位公款存放管理情况汇总表</w:t>
      </w:r>
    </w:p>
    <w:p>
      <w:pPr>
        <w:spacing w:line="640" w:lineRule="exact"/>
        <w:ind w:firstLine="800"/>
        <w:rPr>
          <w:rFonts w:hint="eastAsia" w:ascii="仿宋_GB2312" w:eastAsia="仿宋_GB2312" w:cs="Arial" w:hAnsiTheme="minorEastAsia"/>
          <w:bCs/>
          <w:kern w:val="0"/>
          <w:sz w:val="32"/>
          <w:szCs w:val="32"/>
        </w:rPr>
      </w:pPr>
      <w:r>
        <w:rPr>
          <w:rFonts w:hint="eastAsia" w:ascii="仿宋_GB2312" w:eastAsia="仿宋_GB2312" w:cs="Arial" w:hAnsiTheme="minorEastAsia"/>
          <w:bCs/>
          <w:kern w:val="0"/>
          <w:sz w:val="32"/>
          <w:szCs w:val="32"/>
        </w:rPr>
        <w:t xml:space="preserve">     6.区、县（市）规范公款存放管理情况汇总表</w:t>
      </w:r>
    </w:p>
    <w:p>
      <w:pPr>
        <w:snapToGrid w:val="0"/>
        <w:spacing w:line="560" w:lineRule="exact"/>
        <w:ind w:firstLine="544" w:firstLineChars="200"/>
        <w:jc w:val="left"/>
        <w:rPr>
          <w:rFonts w:hint="eastAsia" w:ascii="仿宋_GB2312" w:eastAsia="仿宋_GB2312" w:cs="仿宋_GB2312" w:hAnsiTheme="minorEastAsia"/>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ind w:firstLine="544" w:firstLineChars="200"/>
        <w:jc w:val="left"/>
        <w:rPr>
          <w:rFonts w:hint="eastAsia" w:ascii="仿宋_GB2312" w:hAnsi="仿宋" w:eastAsia="仿宋_GB2312" w:cs="仿宋_GB2312"/>
          <w:sz w:val="28"/>
          <w:szCs w:val="28"/>
        </w:rPr>
      </w:pPr>
    </w:p>
    <w:p>
      <w:pPr>
        <w:snapToGrid w:val="0"/>
        <w:spacing w:line="560" w:lineRule="exact"/>
        <w:rPr>
          <w:rFonts w:hint="eastAsia" w:ascii="仿宋_GB2312" w:eastAsia="仿宋_GB2312"/>
          <w:sz w:val="32"/>
          <w:szCs w:val="32"/>
        </w:rPr>
      </w:pPr>
      <w:r>
        <w:rPr>
          <w:rFonts w:hint="eastAsia" w:ascii="仿宋_GB2312" w:hAnsi="黑体" w:eastAsia="仿宋_GB2312" w:cs="黑体"/>
          <w:sz w:val="32"/>
          <w:szCs w:val="32"/>
        </w:rPr>
        <w:t>附件1</w:t>
      </w:r>
    </w:p>
    <w:p>
      <w:pPr>
        <w:snapToGrid w:val="0"/>
        <w:spacing w:line="560" w:lineRule="exact"/>
        <w:ind w:firstLine="624" w:firstLineChars="200"/>
        <w:jc w:val="left"/>
        <w:rPr>
          <w:rFonts w:hint="eastAsia" w:ascii="仿宋_GB2312" w:eastAsia="仿宋_GB2312"/>
          <w:sz w:val="32"/>
          <w:szCs w:val="32"/>
        </w:rPr>
      </w:pPr>
      <w:r>
        <w:rPr>
          <w:rFonts w:hint="eastAsia" w:ascii="仿宋_GB2312" w:eastAsia="仿宋_GB2312"/>
          <w:sz w:val="32"/>
          <w:szCs w:val="32"/>
        </w:rPr>
        <w:t xml:space="preserve">      </w:t>
      </w:r>
    </w:p>
    <w:p>
      <w:pPr>
        <w:snapToGrid w:val="0"/>
        <w:spacing w:line="560" w:lineRule="exact"/>
        <w:jc w:val="center"/>
        <w:rPr>
          <w:rFonts w:hint="eastAsia" w:ascii="仿宋_GB2312" w:hAnsi="黑体" w:eastAsia="仿宋_GB2312" w:cs="方正小标宋简体"/>
          <w:sz w:val="36"/>
          <w:szCs w:val="36"/>
        </w:rPr>
      </w:pPr>
      <w:r>
        <w:rPr>
          <w:rFonts w:hint="eastAsia" w:ascii="仿宋_GB2312" w:hAnsi="黑体" w:eastAsia="仿宋_GB2312" w:cs="方正小标宋简体"/>
          <w:sz w:val="36"/>
          <w:szCs w:val="36"/>
          <w:u w:val="single"/>
        </w:rPr>
        <w:t>（XXXX年XXXX单位XXX项目公款竞争性存放）</w:t>
      </w:r>
      <w:r>
        <w:rPr>
          <w:rFonts w:hint="eastAsia" w:ascii="仿宋_GB2312" w:hAnsi="黑体" w:eastAsia="仿宋_GB2312" w:cs="方正小标宋简体"/>
          <w:sz w:val="36"/>
          <w:szCs w:val="36"/>
        </w:rPr>
        <w:t>招标公告</w:t>
      </w:r>
    </w:p>
    <w:p>
      <w:pPr>
        <w:snapToGrid w:val="0"/>
        <w:spacing w:line="560" w:lineRule="exact"/>
        <w:jc w:val="center"/>
        <w:rPr>
          <w:rFonts w:hint="eastAsia" w:ascii="仿宋_GB2312" w:hAnsi="仿宋_GB2312" w:eastAsia="仿宋_GB2312" w:cs="仿宋_GB2312"/>
          <w:b/>
          <w:bCs/>
          <w:sz w:val="32"/>
          <w:szCs w:val="32"/>
        </w:rPr>
      </w:pPr>
    </w:p>
    <w:p>
      <w:pPr>
        <w:snapToGrid w:val="0"/>
        <w:spacing w:line="560" w:lineRule="exact"/>
        <w:ind w:firstLine="63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根据《关于防止领导干部在公款存放方面发生利益冲突和利益输送的办法》(浙委办发〔2015〕8号)、</w:t>
      </w:r>
      <w:r>
        <w:rPr>
          <w:rFonts w:hint="eastAsia" w:ascii="仿宋_GB2312" w:hAnsi="黑体" w:eastAsia="仿宋_GB2312"/>
          <w:sz w:val="32"/>
          <w:szCs w:val="32"/>
        </w:rPr>
        <w:t>《杭州市市级行政事业单位公款竞争性存放管理暂行办法》(</w:t>
      </w:r>
      <w:r>
        <w:rPr>
          <w:rFonts w:hint="eastAsia" w:ascii="仿宋_GB2312" w:hAnsi="黑体" w:eastAsia="仿宋_GB2312"/>
          <w:color w:val="000000"/>
          <w:sz w:val="32"/>
          <w:szCs w:val="32"/>
        </w:rPr>
        <w:t>杭政办函〔2015〕117号)</w:t>
      </w:r>
      <w:r>
        <w:rPr>
          <w:rFonts w:hint="eastAsia" w:ascii="仿宋_GB2312" w:hAnsi="黑体" w:eastAsia="仿宋_GB2312" w:cs="仿宋_GB2312"/>
          <w:sz w:val="32"/>
          <w:szCs w:val="32"/>
        </w:rPr>
        <w:t>、《关于进一步规范市级行政事业单位公款竞争性存放管理的通知</w:t>
      </w:r>
      <w:r>
        <w:rPr>
          <w:rFonts w:hint="eastAsia" w:ascii="仿宋_GB2312" w:hAnsi="黑体" w:eastAsia="仿宋_GB2312" w:cs="仿宋_GB2312"/>
          <w:bCs/>
          <w:sz w:val="32"/>
          <w:szCs w:val="32"/>
        </w:rPr>
        <w:t>》（   ）规定</w:t>
      </w:r>
      <w:r>
        <w:rPr>
          <w:rFonts w:hint="eastAsia" w:ascii="仿宋_GB2312" w:hAnsi="黑体" w:eastAsia="仿宋_GB2312" w:cs="仿宋_GB2312"/>
          <w:sz w:val="32"/>
          <w:szCs w:val="32"/>
        </w:rPr>
        <w:t>，决定对XXXX单位XXX账户开立项目/XXX公款定期存放项目开展招标工作，欢迎符合条件的银行机构参加投标。</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黑体"/>
          <w:sz w:val="32"/>
          <w:szCs w:val="32"/>
        </w:rPr>
        <w:t xml:space="preserve">  一、招标项目名称</w:t>
      </w:r>
    </w:p>
    <w:p>
      <w:pPr>
        <w:ind w:firstLine="624"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XXXX单位XXX账户开立项目/XXX公款定期存放项目招标。</w:t>
      </w:r>
    </w:p>
    <w:p>
      <w:pPr>
        <w:ind w:firstLine="615"/>
        <w:rPr>
          <w:rFonts w:hint="eastAsia" w:ascii="仿宋_GB2312" w:hAnsi="黑体" w:eastAsia="仿宋_GB2312" w:cs="黑体"/>
          <w:sz w:val="32"/>
          <w:szCs w:val="32"/>
        </w:rPr>
      </w:pPr>
      <w:r>
        <w:rPr>
          <w:rFonts w:hint="eastAsia" w:ascii="仿宋_GB2312" w:hAnsi="黑体" w:eastAsia="仿宋_GB2312" w:cs="黑体"/>
          <w:sz w:val="32"/>
          <w:szCs w:val="32"/>
        </w:rPr>
        <w:t>二、招标项目内容</w:t>
      </w:r>
    </w:p>
    <w:p>
      <w:pPr>
        <w:ind w:firstLine="615"/>
        <w:rPr>
          <w:rFonts w:hint="eastAsia" w:ascii="仿宋_GB2312" w:hAnsi="黑体" w:eastAsia="仿宋_GB2312" w:cs="仿宋_GB2312"/>
          <w:sz w:val="32"/>
          <w:szCs w:val="32"/>
        </w:rPr>
      </w:pPr>
      <w:r>
        <w:rPr>
          <w:rFonts w:hint="eastAsia" w:ascii="仿宋_GB2312" w:hAnsi="黑体" w:eastAsia="仿宋_GB2312" w:cs="仿宋_GB2312"/>
          <w:sz w:val="32"/>
          <w:szCs w:val="32"/>
        </w:rPr>
        <w:t>XXXX单位（</w:t>
      </w:r>
      <w:r>
        <w:rPr>
          <w:rFonts w:hint="eastAsia" w:ascii="仿宋_GB2312" w:hAnsi="黑体" w:eastAsia="仿宋_GB2312" w:cs="仿宋_GB2312"/>
          <w:sz w:val="32"/>
          <w:szCs w:val="32"/>
          <w:u w:val="single"/>
        </w:rPr>
        <w:t xml:space="preserve"> 账户性质）、 （</w:t>
      </w:r>
      <w:r>
        <w:rPr>
          <w:rFonts w:hint="eastAsia" w:ascii="仿宋_GB2312" w:hAnsi="黑体" w:eastAsia="仿宋_GB2312"/>
          <w:color w:val="000000"/>
          <w:kern w:val="0"/>
          <w:sz w:val="32"/>
          <w:szCs w:val="32"/>
          <w:u w:val="single"/>
        </w:rPr>
        <w:t>账户名称</w:t>
      </w:r>
      <w:r>
        <w:rPr>
          <w:rFonts w:hint="eastAsia" w:ascii="仿宋_GB2312" w:hAnsi="黑体" w:eastAsia="仿宋_GB2312" w:cs="仿宋_GB2312"/>
          <w:sz w:val="32"/>
          <w:szCs w:val="32"/>
          <w:u w:val="single"/>
        </w:rPr>
        <w:t>）</w:t>
      </w:r>
      <w:r>
        <w:rPr>
          <w:rFonts w:hint="eastAsia" w:ascii="仿宋_GB2312" w:hAnsi="黑体" w:eastAsia="仿宋_GB2312"/>
          <w:color w:val="000000"/>
          <w:kern w:val="0"/>
          <w:sz w:val="32"/>
          <w:szCs w:val="32"/>
          <w:u w:val="single"/>
        </w:rPr>
        <w:t xml:space="preserve"> 开立</w:t>
      </w:r>
      <w:r>
        <w:rPr>
          <w:rFonts w:hint="eastAsia" w:ascii="仿宋_GB2312" w:hAnsi="黑体" w:eastAsia="仿宋_GB2312"/>
          <w:color w:val="000000"/>
          <w:kern w:val="0"/>
          <w:sz w:val="32"/>
          <w:szCs w:val="32"/>
        </w:rPr>
        <w:t>，…… ……。</w:t>
      </w:r>
    </w:p>
    <w:p>
      <w:pPr>
        <w:ind w:firstLine="624"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XXXX单位（</w:t>
      </w:r>
      <w:r>
        <w:rPr>
          <w:rFonts w:hint="eastAsia" w:ascii="仿宋_GB2312" w:hAnsi="黑体" w:eastAsia="仿宋_GB2312" w:cs="仿宋_GB2312"/>
          <w:sz w:val="32"/>
          <w:szCs w:val="32"/>
          <w:u w:val="single"/>
        </w:rPr>
        <w:t xml:space="preserve">资金性质）、  </w:t>
      </w:r>
      <w:r>
        <w:rPr>
          <w:rFonts w:hint="eastAsia" w:ascii="仿宋_GB2312" w:hAnsi="黑体" w:eastAsia="仿宋_GB2312"/>
          <w:color w:val="000000"/>
          <w:kern w:val="0"/>
          <w:sz w:val="32"/>
          <w:szCs w:val="32"/>
          <w:u w:val="single"/>
        </w:rPr>
        <w:t xml:space="preserve">(期限)  </w:t>
      </w:r>
      <w:r>
        <w:rPr>
          <w:rFonts w:hint="eastAsia" w:ascii="仿宋_GB2312" w:hAnsi="黑体" w:eastAsia="仿宋_GB2312"/>
          <w:color w:val="000000"/>
          <w:sz w:val="32"/>
          <w:szCs w:val="32"/>
        </w:rPr>
        <w:t>定期存款存放</w:t>
      </w:r>
      <w:r>
        <w:rPr>
          <w:rFonts w:hint="eastAsia" w:ascii="仿宋_GB2312" w:hAnsi="黑体" w:eastAsia="仿宋_GB2312"/>
          <w:color w:val="000000"/>
          <w:kern w:val="0"/>
          <w:sz w:val="32"/>
          <w:szCs w:val="32"/>
        </w:rPr>
        <w:t>，…… ……。</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黑体"/>
          <w:sz w:val="32"/>
          <w:szCs w:val="32"/>
        </w:rPr>
        <w:t>三、投标人资格要求</w:t>
      </w:r>
    </w:p>
    <w:p>
      <w:pPr>
        <w:ind w:firstLine="624"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投标人应符合</w:t>
      </w:r>
      <w:r>
        <w:rPr>
          <w:rFonts w:hint="eastAsia" w:ascii="仿宋_GB2312" w:hAnsi="黑体" w:eastAsia="仿宋_GB2312"/>
          <w:sz w:val="32"/>
          <w:szCs w:val="32"/>
        </w:rPr>
        <w:t>《杭州市市级行政事业单位公款竞争性存放管理暂行办法》</w:t>
      </w:r>
      <w:r>
        <w:rPr>
          <w:rFonts w:hint="eastAsia" w:ascii="仿宋_GB2312" w:hAnsi="黑体" w:eastAsia="仿宋_GB2312"/>
          <w:color w:val="000000"/>
          <w:sz w:val="32"/>
          <w:szCs w:val="32"/>
        </w:rPr>
        <w:t>杭政办函〔2015〕117号及</w:t>
      </w:r>
      <w:r>
        <w:rPr>
          <w:rFonts w:hint="eastAsia" w:ascii="仿宋_GB2312" w:hAnsi="黑体" w:eastAsia="仿宋_GB2312" w:cs="仿宋_GB2312"/>
          <w:sz w:val="32"/>
          <w:szCs w:val="32"/>
        </w:rPr>
        <w:t>《关于进一步规范市级行政事业单位公款竞争性存放管理的通知</w:t>
      </w:r>
      <w:r>
        <w:rPr>
          <w:rFonts w:hint="eastAsia" w:ascii="仿宋_GB2312" w:hAnsi="黑体" w:eastAsia="仿宋_GB2312" w:cs="仿宋_GB2312"/>
          <w:bCs/>
          <w:sz w:val="32"/>
          <w:szCs w:val="32"/>
        </w:rPr>
        <w:t>》（   ）</w:t>
      </w:r>
      <w:r>
        <w:rPr>
          <w:rFonts w:hint="eastAsia" w:ascii="仿宋_GB2312" w:hAnsi="黑体" w:eastAsia="仿宋_GB2312" w:cs="仿宋_GB2312"/>
          <w:sz w:val="32"/>
          <w:szCs w:val="32"/>
        </w:rPr>
        <w:t>规定，具备承担招标项目的能力，具体包括：</w:t>
      </w:r>
    </w:p>
    <w:p>
      <w:pPr>
        <w:pStyle w:val="12"/>
        <w:adjustRightInd w:val="0"/>
        <w:spacing w:line="336" w:lineRule="auto"/>
        <w:ind w:firstLine="624"/>
        <w:rPr>
          <w:rFonts w:hint="eastAsia" w:ascii="仿宋_GB2312" w:hAnsi="黑体" w:eastAsia="仿宋_GB2312"/>
          <w:sz w:val="32"/>
          <w:szCs w:val="32"/>
        </w:rPr>
      </w:pPr>
      <w:r>
        <w:rPr>
          <w:rFonts w:hint="eastAsia" w:ascii="仿宋_GB2312" w:hAnsi="黑体" w:eastAsia="仿宋_GB2312" w:cs="仿宋_GB2312"/>
          <w:sz w:val="32"/>
          <w:szCs w:val="32"/>
        </w:rPr>
        <w:t>(一)</w:t>
      </w:r>
      <w:r>
        <w:rPr>
          <w:rFonts w:hint="eastAsia" w:ascii="仿宋_GB2312" w:hAnsi="黑体" w:eastAsia="仿宋_GB2312"/>
          <w:sz w:val="32"/>
          <w:szCs w:val="32"/>
        </w:rPr>
        <w:t>在杭州地区设有分支机构、人行杭州中心支行上年度综合评价B级及以上。</w:t>
      </w:r>
    </w:p>
    <w:p>
      <w:pPr>
        <w:pStyle w:val="12"/>
        <w:adjustRightInd w:val="0"/>
        <w:spacing w:line="336" w:lineRule="auto"/>
        <w:ind w:firstLine="0" w:firstLineChars="0"/>
        <w:rPr>
          <w:rFonts w:hint="eastAsia"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cs="仿宋_GB2312"/>
          <w:sz w:val="32"/>
          <w:szCs w:val="32"/>
        </w:rPr>
        <w:t xml:space="preserve"> (二)</w:t>
      </w:r>
      <w:r>
        <w:rPr>
          <w:rFonts w:hint="eastAsia" w:ascii="仿宋_GB2312" w:hAnsi="黑体" w:eastAsia="仿宋_GB2312"/>
          <w:sz w:val="32"/>
          <w:szCs w:val="32"/>
        </w:rPr>
        <w:t>依法开展经营活动，近3年内在经营活动中无重大违法违纪记录。</w:t>
      </w:r>
    </w:p>
    <w:p>
      <w:pPr>
        <w:pStyle w:val="12"/>
        <w:adjustRightInd w:val="0"/>
        <w:spacing w:line="336" w:lineRule="auto"/>
        <w:ind w:firstLine="0" w:firstLineChars="0"/>
        <w:rPr>
          <w:rFonts w:hint="eastAsia" w:ascii="仿宋_GB2312" w:hAnsi="黑体" w:eastAsia="仿宋_GB2312"/>
          <w:sz w:val="32"/>
          <w:szCs w:val="32"/>
        </w:rPr>
      </w:pPr>
      <w:r>
        <w:rPr>
          <w:rFonts w:hint="eastAsia" w:ascii="仿宋_GB2312" w:hAnsi="黑体" w:eastAsia="仿宋_GB2312"/>
          <w:sz w:val="32"/>
          <w:szCs w:val="32"/>
        </w:rPr>
        <w:t xml:space="preserve">    （三）财务稳健，资金充足率、不良贷款率、拨备覆盖率、流动性覆盖率、流动性比例等指标达到监管标准。</w:t>
      </w:r>
    </w:p>
    <w:p>
      <w:pPr>
        <w:spacing w:line="336" w:lineRule="auto"/>
        <w:ind w:firstLine="640"/>
        <w:rPr>
          <w:rFonts w:hint="eastAsia" w:ascii="仿宋_GB2312" w:hAnsi="黑体" w:eastAsia="仿宋_GB2312"/>
          <w:sz w:val="32"/>
          <w:szCs w:val="32"/>
        </w:rPr>
      </w:pPr>
      <w:r>
        <w:rPr>
          <w:rFonts w:hint="eastAsia" w:ascii="仿宋_GB2312" w:hAnsi="黑体" w:eastAsia="仿宋_GB2312"/>
          <w:sz w:val="32"/>
          <w:szCs w:val="32"/>
        </w:rPr>
        <w:t>（四）内部管理机制健全，具有较强的风险控制能力，近3年内未发生金融风险及重大违约事件。</w:t>
      </w:r>
    </w:p>
    <w:p>
      <w:pPr>
        <w:ind w:firstLine="624"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(五)……</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黑体"/>
          <w:sz w:val="32"/>
          <w:szCs w:val="32"/>
        </w:rPr>
        <w:t>四、招标文件获取时间、方式及地址</w:t>
      </w:r>
    </w:p>
    <w:p>
      <w:pPr>
        <w:ind w:firstLine="624"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(一)招标文件获取时间：(注明日期及时点)</w:t>
      </w:r>
    </w:p>
    <w:p>
      <w:pPr>
        <w:ind w:firstLine="624"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(二)招标文件获取方式及地址：(可以是直接在指定网址下载招标文件或者指定地点现场领取)</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黑体"/>
          <w:sz w:val="32"/>
          <w:szCs w:val="32"/>
        </w:rPr>
        <w:t>五、投标报名时间、地点及需提供材料等</w:t>
      </w:r>
    </w:p>
    <w:p>
      <w:pPr>
        <w:ind w:firstLine="624"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(注明日期及时点)</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黑体"/>
          <w:sz w:val="32"/>
          <w:szCs w:val="32"/>
        </w:rPr>
        <w:t>六、投标起止时间、地点及有关要求</w:t>
      </w:r>
    </w:p>
    <w:p>
      <w:pPr>
        <w:ind w:firstLine="624"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(注明日期及时点，详细地点等)</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黑体"/>
          <w:sz w:val="32"/>
          <w:szCs w:val="32"/>
        </w:rPr>
        <w:t>七、开标时间及地点</w:t>
      </w:r>
    </w:p>
    <w:p>
      <w:pPr>
        <w:ind w:firstLine="624"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(注明日期及时点，详细地点)</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黑体"/>
          <w:sz w:val="32"/>
          <w:szCs w:val="32"/>
        </w:rPr>
        <w:t>八、联系方式</w:t>
      </w:r>
    </w:p>
    <w:p>
      <w:pPr>
        <w:ind w:firstLine="624"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(注明联系人姓名、电话、传真及地址等信息)</w:t>
      </w:r>
    </w:p>
    <w:p>
      <w:pPr>
        <w:jc w:val="left"/>
        <w:rPr>
          <w:rFonts w:hint="eastAsia" w:ascii="仿宋_GB2312" w:eastAsia="仿宋_GB2312"/>
          <w:sz w:val="32"/>
          <w:szCs w:val="32"/>
        </w:rPr>
      </w:pPr>
      <w:r>
        <w:rPr>
          <w:rFonts w:hint="eastAsia" w:ascii="仿宋_GB2312" w:eastAsia="仿宋_GB2312"/>
          <w:sz w:val="32"/>
          <w:szCs w:val="32"/>
        </w:rPr>
        <w:br w:type="page"/>
      </w:r>
      <w:r>
        <w:rPr>
          <w:rFonts w:hint="eastAsia" w:ascii="仿宋_GB2312" w:hAnsi="黑体" w:eastAsia="仿宋_GB2312" w:cs="黑体"/>
          <w:sz w:val="32"/>
          <w:szCs w:val="32"/>
        </w:rPr>
        <w:t>附件2</w:t>
      </w:r>
    </w:p>
    <w:p>
      <w:pPr>
        <w:jc w:val="center"/>
        <w:rPr>
          <w:rFonts w:hint="eastAsia" w:ascii="仿宋_GB2312" w:hAnsi="黑体" w:eastAsia="仿宋_GB2312" w:cs="方正小标宋简体"/>
          <w:sz w:val="36"/>
          <w:szCs w:val="36"/>
        </w:rPr>
      </w:pPr>
      <w:r>
        <w:rPr>
          <w:rFonts w:hint="eastAsia" w:ascii="仿宋_GB2312" w:hAnsi="黑体" w:eastAsia="仿宋_GB2312" w:cs="方正小标宋简体"/>
          <w:sz w:val="36"/>
          <w:szCs w:val="36"/>
          <w:u w:val="single"/>
        </w:rPr>
        <w:t>（XXXX单位XXX项目公款竞争性存放）</w:t>
      </w:r>
      <w:r>
        <w:rPr>
          <w:rFonts w:hint="eastAsia" w:ascii="仿宋_GB2312" w:hAnsi="黑体" w:eastAsia="仿宋_GB2312" w:cs="方正小标宋简体"/>
          <w:sz w:val="36"/>
          <w:szCs w:val="36"/>
        </w:rPr>
        <w:t>中标公告</w:t>
      </w:r>
    </w:p>
    <w:p>
      <w:pPr>
        <w:jc w:val="center"/>
        <w:rPr>
          <w:rFonts w:hint="eastAsia" w:ascii="仿宋_GB2312" w:hAnsi="黑体" w:eastAsia="仿宋_GB2312" w:cs="黑体"/>
          <w:sz w:val="44"/>
          <w:szCs w:val="44"/>
        </w:rPr>
      </w:pPr>
    </w:p>
    <w:p>
      <w:pPr>
        <w:numPr>
          <w:ilvl w:val="0"/>
          <w:numId w:val="1"/>
        </w:numPr>
        <w:rPr>
          <w:rFonts w:hint="eastAsia" w:ascii="仿宋_GB2312" w:hAnsi="黑体" w:eastAsia="仿宋_GB2312" w:cs="黑体"/>
          <w:sz w:val="32"/>
          <w:szCs w:val="32"/>
        </w:rPr>
      </w:pPr>
      <w:r>
        <w:rPr>
          <w:rFonts w:hint="eastAsia" w:ascii="仿宋_GB2312" w:hAnsi="黑体" w:eastAsia="仿宋_GB2312" w:cs="黑体"/>
          <w:sz w:val="32"/>
          <w:szCs w:val="32"/>
        </w:rPr>
        <w:t>招标人名称</w:t>
      </w:r>
    </w:p>
    <w:p>
      <w:pPr>
        <w:rPr>
          <w:rFonts w:hint="eastAsia" w:ascii="仿宋_GB2312" w:hAnsi="仿宋_GB2312" w:eastAsia="仿宋_GB2312" w:cs="仿宋_GB2312"/>
          <w:b/>
          <w:bCs/>
          <w:sz w:val="32"/>
          <w:szCs w:val="32"/>
        </w:rPr>
      </w:pPr>
    </w:p>
    <w:p>
      <w:pPr>
        <w:rPr>
          <w:rFonts w:hint="eastAsia" w:ascii="仿宋_GB2312" w:hAnsi="黑体" w:eastAsia="仿宋_GB2312" w:cs="黑体"/>
          <w:sz w:val="32"/>
          <w:szCs w:val="32"/>
        </w:rPr>
      </w:pPr>
      <w:r>
        <w:rPr>
          <w:rFonts w:hint="eastAsia" w:ascii="仿宋_GB2312" w:hAnsi="黑体" w:eastAsia="仿宋_GB2312" w:cs="黑体"/>
          <w:sz w:val="32"/>
          <w:szCs w:val="32"/>
        </w:rPr>
        <w:t>二、招标项目名称</w:t>
      </w: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XXXX单位XXX账户开立项目/XXX公款定期存放项目招标</w:t>
      </w:r>
    </w:p>
    <w:p>
      <w:pPr>
        <w:numPr>
          <w:ilvl w:val="0"/>
          <w:numId w:val="2"/>
        </w:numPr>
        <w:rPr>
          <w:rFonts w:hint="eastAsia" w:ascii="仿宋_GB2312" w:hAnsi="黑体" w:eastAsia="仿宋_GB2312" w:cs="黑体"/>
          <w:sz w:val="32"/>
          <w:szCs w:val="32"/>
        </w:rPr>
      </w:pPr>
      <w:r>
        <w:rPr>
          <w:rFonts w:hint="eastAsia" w:ascii="仿宋_GB2312" w:hAnsi="黑体" w:eastAsia="仿宋_GB2312" w:cs="黑体"/>
          <w:sz w:val="32"/>
          <w:szCs w:val="32"/>
        </w:rPr>
        <w:t>招标公告发布日期</w:t>
      </w:r>
    </w:p>
    <w:p>
      <w:pPr>
        <w:rPr>
          <w:rFonts w:hint="eastAsia" w:ascii="仿宋_GB2312" w:hAnsi="仿宋_GB2312" w:eastAsia="仿宋_GB2312" w:cs="仿宋_GB2312"/>
          <w:b/>
          <w:bCs/>
          <w:sz w:val="32"/>
          <w:szCs w:val="32"/>
        </w:rPr>
      </w:pPr>
    </w:p>
    <w:p>
      <w:pPr>
        <w:numPr>
          <w:ilvl w:val="0"/>
          <w:numId w:val="2"/>
        </w:numPr>
        <w:rPr>
          <w:rFonts w:hint="eastAsia" w:ascii="仿宋_GB2312" w:hAnsi="黑体" w:eastAsia="仿宋_GB2312" w:cs="黑体"/>
          <w:sz w:val="32"/>
          <w:szCs w:val="32"/>
        </w:rPr>
      </w:pPr>
      <w:r>
        <w:rPr>
          <w:rFonts w:hint="eastAsia" w:ascii="仿宋_GB2312" w:hAnsi="黑体" w:eastAsia="仿宋_GB2312" w:cs="黑体"/>
          <w:sz w:val="32"/>
          <w:szCs w:val="32"/>
        </w:rPr>
        <w:t>定标日期</w:t>
      </w:r>
    </w:p>
    <w:p>
      <w:pPr>
        <w:rPr>
          <w:rFonts w:hint="eastAsia" w:ascii="仿宋_GB2312" w:hAnsi="仿宋_GB2312" w:eastAsia="仿宋_GB2312" w:cs="仿宋_GB2312"/>
          <w:b/>
          <w:bCs/>
          <w:sz w:val="32"/>
          <w:szCs w:val="32"/>
        </w:rPr>
      </w:pPr>
    </w:p>
    <w:p>
      <w:pPr>
        <w:numPr>
          <w:ilvl w:val="0"/>
          <w:numId w:val="2"/>
        </w:numPr>
        <w:rPr>
          <w:rFonts w:hint="eastAsia" w:ascii="仿宋_GB2312" w:hAnsi="黑体" w:eastAsia="仿宋_GB2312" w:cs="黑体"/>
          <w:sz w:val="32"/>
          <w:szCs w:val="32"/>
        </w:rPr>
      </w:pPr>
      <w:r>
        <w:rPr>
          <w:rFonts w:hint="eastAsia" w:ascii="仿宋_GB2312" w:hAnsi="黑体" w:eastAsia="仿宋_GB2312" w:cs="黑体"/>
          <w:sz w:val="32"/>
          <w:szCs w:val="32"/>
        </w:rPr>
        <w:t>中标结果</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(包括公款存放中标银行、期限、中标利率等信息)</w:t>
      </w:r>
    </w:p>
    <w:p>
      <w:pPr>
        <w:rPr>
          <w:rFonts w:hint="eastAsia" w:ascii="仿宋_GB2312" w:hAnsi="仿宋_GB2312" w:eastAsia="仿宋_GB2312" w:cs="仿宋_GB2312"/>
          <w:b/>
          <w:bCs/>
          <w:sz w:val="32"/>
          <w:szCs w:val="32"/>
        </w:rPr>
      </w:pPr>
    </w:p>
    <w:p>
      <w:pPr>
        <w:numPr>
          <w:ilvl w:val="0"/>
          <w:numId w:val="2"/>
        </w:numPr>
        <w:rPr>
          <w:rFonts w:hint="eastAsia" w:ascii="仿宋_GB2312" w:hAnsi="黑体" w:eastAsia="仿宋_GB2312" w:cs="黑体"/>
          <w:sz w:val="32"/>
          <w:szCs w:val="32"/>
        </w:rPr>
      </w:pPr>
      <w:r>
        <w:rPr>
          <w:rFonts w:hint="eastAsia" w:ascii="仿宋_GB2312" w:hAnsi="黑体" w:eastAsia="仿宋_GB2312" w:cs="黑体"/>
          <w:sz w:val="32"/>
          <w:szCs w:val="32"/>
        </w:rPr>
        <w:t>联系方式</w:t>
      </w:r>
    </w:p>
    <w:p>
      <w:pPr>
        <w:rPr>
          <w:rFonts w:hint="eastAsia" w:ascii="仿宋_GB2312" w:hAnsi="仿宋_GB2312" w:eastAsia="仿宋_GB2312" w:cs="仿宋_GB2312"/>
          <w:b/>
          <w:bCs/>
          <w:sz w:val="32"/>
          <w:szCs w:val="32"/>
        </w:rPr>
      </w:pPr>
    </w:p>
    <w:p>
      <w:pPr>
        <w:numPr>
          <w:ilvl w:val="0"/>
          <w:numId w:val="2"/>
        </w:numPr>
        <w:rPr>
          <w:rFonts w:hint="eastAsia" w:ascii="仿宋_GB2312" w:hAnsi="黑体" w:eastAsia="仿宋_GB2312" w:cs="黑体"/>
          <w:sz w:val="32"/>
          <w:szCs w:val="32"/>
        </w:rPr>
      </w:pPr>
      <w:r>
        <w:rPr>
          <w:rFonts w:hint="eastAsia" w:ascii="仿宋_GB2312" w:hAnsi="黑体" w:eastAsia="仿宋_GB2312" w:cs="黑体"/>
          <w:sz w:val="32"/>
          <w:szCs w:val="32"/>
        </w:rPr>
        <w:t>其他事项</w:t>
      </w:r>
    </w:p>
    <w:p>
      <w:pPr>
        <w:snapToGrid w:val="0"/>
        <w:spacing w:line="560" w:lineRule="exact"/>
        <w:ind w:firstLine="624" w:firstLineChars="200"/>
        <w:jc w:val="left"/>
        <w:rPr>
          <w:rFonts w:hint="eastAsia" w:ascii="仿宋_GB2312" w:eastAsia="仿宋_GB2312"/>
          <w:sz w:val="32"/>
          <w:szCs w:val="32"/>
        </w:rPr>
      </w:pPr>
    </w:p>
    <w:p>
      <w:pPr>
        <w:snapToGrid w:val="0"/>
        <w:spacing w:line="560" w:lineRule="exact"/>
        <w:ind w:firstLine="624" w:firstLineChars="200"/>
        <w:jc w:val="left"/>
        <w:rPr>
          <w:rFonts w:hint="eastAsia" w:ascii="仿宋_GB2312" w:eastAsia="仿宋_GB2312"/>
          <w:sz w:val="32"/>
          <w:szCs w:val="32"/>
        </w:rPr>
      </w:pPr>
    </w:p>
    <w:p>
      <w:pPr>
        <w:snapToGrid w:val="0"/>
        <w:spacing w:line="560" w:lineRule="exact"/>
        <w:ind w:firstLine="624" w:firstLineChars="200"/>
        <w:jc w:val="left"/>
        <w:rPr>
          <w:rFonts w:hint="eastAsia" w:ascii="仿宋_GB2312" w:eastAsia="仿宋_GB2312"/>
          <w:sz w:val="32"/>
          <w:szCs w:val="32"/>
        </w:rPr>
      </w:pPr>
    </w:p>
    <w:p>
      <w:pPr>
        <w:snapToGrid w:val="0"/>
        <w:spacing w:line="560" w:lineRule="exact"/>
        <w:jc w:val="left"/>
        <w:rPr>
          <w:rFonts w:hint="eastAsia" w:ascii="仿宋_GB2312" w:eastAsia="仿宋_GB2312"/>
          <w:sz w:val="32"/>
          <w:szCs w:val="32"/>
        </w:rPr>
      </w:pPr>
      <w:r>
        <w:rPr>
          <w:rFonts w:hint="eastAsia" w:ascii="仿宋_GB2312" w:eastAsia="仿宋_GB2312"/>
          <w:sz w:val="32"/>
          <w:szCs w:val="32"/>
        </w:rPr>
        <w:br w:type="page"/>
      </w:r>
      <w:r>
        <w:rPr>
          <w:rFonts w:hint="eastAsia" w:ascii="仿宋_GB2312" w:hAnsi="黑体" w:eastAsia="仿宋_GB2312" w:cs="黑体"/>
          <w:sz w:val="32"/>
          <w:szCs w:val="32"/>
        </w:rPr>
        <w:t>附件3</w:t>
      </w:r>
    </w:p>
    <w:p>
      <w:pPr>
        <w:snapToGrid w:val="0"/>
        <w:spacing w:line="560" w:lineRule="exact"/>
        <w:jc w:val="left"/>
        <w:rPr>
          <w:rFonts w:hint="eastAsia" w:ascii="仿宋_GB2312" w:eastAsia="仿宋_GB2312"/>
          <w:sz w:val="36"/>
          <w:szCs w:val="36"/>
        </w:rPr>
      </w:pPr>
      <w:r>
        <w:rPr>
          <w:rFonts w:hint="eastAsia" w:ascii="仿宋_GB2312" w:eastAsia="仿宋_GB2312"/>
          <w:sz w:val="32"/>
          <w:szCs w:val="32"/>
        </w:rPr>
        <w:t xml:space="preserve"> </w:t>
      </w:r>
    </w:p>
    <w:p>
      <w:pPr>
        <w:jc w:val="center"/>
        <w:rPr>
          <w:rFonts w:hint="eastAsia" w:ascii="仿宋_GB2312" w:hAnsi="黑体" w:eastAsia="仿宋_GB2312" w:cs="方正小标宋简体"/>
          <w:sz w:val="36"/>
          <w:szCs w:val="36"/>
        </w:rPr>
      </w:pPr>
      <w:r>
        <w:rPr>
          <w:rFonts w:hint="eastAsia" w:ascii="仿宋_GB2312" w:hAnsi="黑体" w:eastAsia="仿宋_GB2312" w:cs="方正小标宋简体"/>
          <w:sz w:val="44"/>
          <w:szCs w:val="44"/>
          <w:u w:val="single"/>
        </w:rPr>
        <w:t xml:space="preserve"> </w:t>
      </w:r>
      <w:r>
        <w:rPr>
          <w:rFonts w:hint="eastAsia" w:ascii="仿宋_GB2312" w:hAnsi="黑体" w:eastAsia="仿宋_GB2312" w:cs="方正小标宋简体"/>
          <w:sz w:val="36"/>
          <w:szCs w:val="36"/>
          <w:u w:val="single"/>
        </w:rPr>
        <w:t xml:space="preserve">（XXXX单位XXX项目公款竞争性存放招标） </w:t>
      </w:r>
      <w:r>
        <w:rPr>
          <w:rFonts w:hint="eastAsia" w:ascii="仿宋_GB2312" w:hAnsi="黑体" w:eastAsia="仿宋_GB2312" w:cs="方正小标宋简体"/>
          <w:sz w:val="36"/>
          <w:szCs w:val="36"/>
        </w:rPr>
        <w:t>更正公告</w:t>
      </w:r>
    </w:p>
    <w:p>
      <w:pPr>
        <w:jc w:val="center"/>
        <w:rPr>
          <w:rFonts w:hint="eastAsia" w:ascii="仿宋_GB2312" w:hAnsi="黑体" w:eastAsia="仿宋_GB2312" w:cs="黑体"/>
          <w:sz w:val="36"/>
          <w:szCs w:val="36"/>
        </w:rPr>
      </w:pPr>
    </w:p>
    <w:p>
      <w:pPr>
        <w:numPr>
          <w:ilvl w:val="0"/>
          <w:numId w:val="3"/>
        </w:numPr>
        <w:ind w:firstLine="624" w:firstLineChars="200"/>
        <w:rPr>
          <w:rFonts w:hint="eastAsia" w:ascii="仿宋_GB2312" w:hAnsi="黑体" w:eastAsia="仿宋_GB2312" w:cs="黑体"/>
          <w:sz w:val="32"/>
          <w:szCs w:val="32"/>
        </w:rPr>
      </w:pPr>
      <w:r>
        <w:rPr>
          <w:rFonts w:hint="eastAsia" w:ascii="仿宋_GB2312" w:hAnsi="黑体" w:eastAsia="仿宋_GB2312" w:cs="黑体"/>
          <w:sz w:val="32"/>
          <w:szCs w:val="32"/>
        </w:rPr>
        <w:t>招标人名称</w:t>
      </w:r>
    </w:p>
    <w:p>
      <w:pPr>
        <w:ind w:firstLine="624" w:firstLineChars="200"/>
        <w:rPr>
          <w:rFonts w:hint="eastAsia" w:ascii="仿宋_GB2312" w:hAnsi="仿宋_GB2312" w:eastAsia="仿宋_GB2312" w:cs="仿宋_GB2312"/>
          <w:sz w:val="32"/>
          <w:szCs w:val="32"/>
        </w:rPr>
      </w:pPr>
    </w:p>
    <w:p>
      <w:pPr>
        <w:numPr>
          <w:ilvl w:val="0"/>
          <w:numId w:val="3"/>
        </w:numPr>
        <w:ind w:firstLine="624" w:firstLineChars="200"/>
        <w:rPr>
          <w:rFonts w:hint="eastAsia" w:ascii="仿宋_GB2312" w:hAnsi="黑体" w:eastAsia="仿宋_GB2312" w:cs="黑体"/>
          <w:sz w:val="32"/>
          <w:szCs w:val="32"/>
        </w:rPr>
      </w:pPr>
      <w:r>
        <w:rPr>
          <w:rFonts w:hint="eastAsia" w:ascii="仿宋_GB2312" w:hAnsi="黑体" w:eastAsia="仿宋_GB2312" w:cs="黑体"/>
          <w:sz w:val="32"/>
          <w:szCs w:val="32"/>
        </w:rPr>
        <w:t>招标项目名称</w:t>
      </w:r>
    </w:p>
    <w:p>
      <w:pPr>
        <w:ind w:firstLine="624"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XXXX单位XXX账户开立项目/XXX公款定期存放项目招标</w:t>
      </w:r>
    </w:p>
    <w:p>
      <w:pPr>
        <w:numPr>
          <w:ilvl w:val="0"/>
          <w:numId w:val="3"/>
        </w:numPr>
        <w:ind w:firstLine="624" w:firstLineChars="200"/>
        <w:rPr>
          <w:rFonts w:hint="eastAsia" w:ascii="仿宋_GB2312" w:hAnsi="黑体" w:eastAsia="仿宋_GB2312" w:cs="黑体"/>
          <w:sz w:val="32"/>
          <w:szCs w:val="32"/>
        </w:rPr>
      </w:pPr>
      <w:r>
        <w:rPr>
          <w:rFonts w:hint="eastAsia" w:ascii="仿宋_GB2312" w:hAnsi="黑体" w:eastAsia="仿宋_GB2312" w:cs="黑体"/>
          <w:sz w:val="32"/>
          <w:szCs w:val="32"/>
        </w:rPr>
        <w:t>原招标公告发布日期</w:t>
      </w:r>
    </w:p>
    <w:p>
      <w:pPr>
        <w:ind w:firstLine="624" w:firstLineChars="200"/>
        <w:rPr>
          <w:rFonts w:hint="eastAsia" w:ascii="仿宋_GB2312" w:hAnsi="仿宋_GB2312" w:eastAsia="仿宋_GB2312" w:cs="仿宋_GB2312"/>
          <w:sz w:val="32"/>
          <w:szCs w:val="32"/>
        </w:rPr>
      </w:pPr>
    </w:p>
    <w:p>
      <w:pPr>
        <w:numPr>
          <w:ilvl w:val="0"/>
          <w:numId w:val="3"/>
        </w:numPr>
        <w:ind w:firstLine="624" w:firstLineChars="200"/>
        <w:rPr>
          <w:rFonts w:hint="eastAsia" w:ascii="仿宋_GB2312" w:hAnsi="黑体" w:eastAsia="仿宋_GB2312" w:cs="黑体"/>
          <w:sz w:val="32"/>
          <w:szCs w:val="32"/>
        </w:rPr>
      </w:pPr>
      <w:r>
        <w:rPr>
          <w:rFonts w:hint="eastAsia" w:ascii="仿宋_GB2312" w:hAnsi="黑体" w:eastAsia="仿宋_GB2312" w:cs="黑体"/>
          <w:sz w:val="32"/>
          <w:szCs w:val="32"/>
        </w:rPr>
        <w:t>更正理由</w:t>
      </w:r>
    </w:p>
    <w:p>
      <w:pPr>
        <w:ind w:firstLine="624" w:firstLineChars="200"/>
        <w:rPr>
          <w:rFonts w:hint="eastAsia" w:ascii="仿宋_GB2312" w:hAnsi="仿宋_GB2312" w:eastAsia="仿宋_GB2312" w:cs="仿宋_GB2312"/>
          <w:sz w:val="32"/>
          <w:szCs w:val="32"/>
        </w:rPr>
      </w:pPr>
    </w:p>
    <w:p>
      <w:pPr>
        <w:numPr>
          <w:ilvl w:val="0"/>
          <w:numId w:val="3"/>
        </w:numPr>
        <w:ind w:firstLine="624" w:firstLineChars="200"/>
        <w:rPr>
          <w:rFonts w:hint="eastAsia" w:ascii="仿宋_GB2312" w:hAnsi="黑体" w:eastAsia="仿宋_GB2312" w:cs="黑体"/>
          <w:sz w:val="32"/>
          <w:szCs w:val="32"/>
        </w:rPr>
      </w:pPr>
      <w:r>
        <w:rPr>
          <w:rFonts w:hint="eastAsia" w:ascii="仿宋_GB2312" w:hAnsi="黑体" w:eastAsia="仿宋_GB2312" w:cs="黑体"/>
          <w:sz w:val="32"/>
          <w:szCs w:val="32"/>
        </w:rPr>
        <w:t>更正事项</w:t>
      </w:r>
    </w:p>
    <w:p>
      <w:pPr>
        <w:ind w:firstLine="624" w:firstLineChars="200"/>
        <w:rPr>
          <w:rFonts w:hint="eastAsia" w:ascii="仿宋_GB2312" w:hAnsi="黑体" w:eastAsia="仿宋_GB2312" w:cs="黑体"/>
          <w:sz w:val="32"/>
          <w:szCs w:val="32"/>
        </w:rPr>
      </w:pPr>
    </w:p>
    <w:p>
      <w:pPr>
        <w:ind w:firstLine="624" w:firstLineChars="200"/>
        <w:rPr>
          <w:rFonts w:hint="eastAsia" w:ascii="仿宋_GB2312" w:hAnsi="黑体" w:eastAsia="仿宋_GB2312" w:cs="黑体"/>
          <w:sz w:val="32"/>
          <w:szCs w:val="32"/>
        </w:rPr>
      </w:pPr>
      <w:r>
        <w:rPr>
          <w:rFonts w:hint="eastAsia" w:ascii="仿宋_GB2312" w:hAnsi="黑体" w:eastAsia="仿宋_GB2312" w:cs="黑体"/>
          <w:sz w:val="32"/>
          <w:szCs w:val="32"/>
        </w:rPr>
        <w:t>六、联系方式</w:t>
      </w:r>
    </w:p>
    <w:p>
      <w:pPr>
        <w:snapToGrid w:val="0"/>
        <w:spacing w:line="560" w:lineRule="exact"/>
        <w:jc w:val="left"/>
        <w:rPr>
          <w:rFonts w:hint="eastAsia" w:ascii="仿宋_GB2312" w:hAnsi="黑体" w:eastAsia="仿宋_GB2312" w:cs="黑体"/>
          <w:sz w:val="32"/>
          <w:szCs w:val="32"/>
        </w:rPr>
      </w:pPr>
      <w:r>
        <w:rPr>
          <w:rFonts w:hint="eastAsia" w:ascii="仿宋_GB2312" w:hAnsi="仿宋_GB2312" w:eastAsia="仿宋_GB2312" w:cs="仿宋_GB2312"/>
          <w:sz w:val="32"/>
          <w:szCs w:val="32"/>
        </w:rPr>
        <w:br w:type="page"/>
      </w:r>
    </w:p>
    <w:p>
      <w:pPr>
        <w:spacing w:line="500" w:lineRule="exact"/>
        <w:rPr>
          <w:rFonts w:hint="eastAsia" w:ascii="仿宋_GB2312" w:hAnsi="仿宋_GB2312" w:eastAsia="仿宋_GB2312" w:cs="仿宋_GB2312"/>
          <w:sz w:val="32"/>
          <w:szCs w:val="32"/>
        </w:rPr>
      </w:pPr>
      <w:r>
        <w:rPr>
          <w:rFonts w:hint="eastAsia" w:ascii="仿宋_GB2312" w:hAnsi="黑体" w:eastAsia="仿宋_GB2312" w:cs="黑体"/>
          <w:sz w:val="32"/>
          <w:szCs w:val="32"/>
        </w:rPr>
        <w:t>附件4</w:t>
      </w:r>
    </w:p>
    <w:p>
      <w:pPr>
        <w:spacing w:line="500" w:lineRule="exact"/>
        <w:jc w:val="center"/>
        <w:rPr>
          <w:rFonts w:hint="eastAsia" w:ascii="仿宋_GB2312" w:hAnsi="方正小标宋简体" w:eastAsia="仿宋_GB2312" w:cs="方正小标宋简体"/>
          <w:sz w:val="44"/>
          <w:szCs w:val="44"/>
        </w:rPr>
      </w:pPr>
      <w:r>
        <w:rPr>
          <w:rFonts w:hint="eastAsia" w:ascii="仿宋_GB2312" w:hAnsi="方正小标宋简体" w:eastAsia="仿宋_GB2312" w:cs="方正小标宋简体"/>
          <w:sz w:val="44"/>
          <w:szCs w:val="44"/>
        </w:rPr>
        <w:t>廉政承诺书</w:t>
      </w:r>
    </w:p>
    <w:p>
      <w:pPr>
        <w:spacing w:line="500" w:lineRule="exact"/>
        <w:jc w:val="center"/>
        <w:rPr>
          <w:rFonts w:hint="eastAsia" w:ascii="仿宋_GB2312" w:hAnsi="仿宋_GB2312" w:eastAsia="仿宋_GB2312" w:cs="仿宋_GB2312"/>
          <w:sz w:val="32"/>
          <w:szCs w:val="32"/>
        </w:rPr>
      </w:pP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部门（单位）：</w:t>
      </w:r>
    </w:p>
    <w:p>
      <w:pPr>
        <w:spacing w:line="500" w:lineRule="exact"/>
        <w:rPr>
          <w:rFonts w:hint="eastAsia" w:ascii="仿宋_GB2312" w:hAnsi="仿宋"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 w:eastAsia="仿宋_GB2312" w:cs="仿宋_GB2312"/>
          <w:sz w:val="32"/>
          <w:szCs w:val="32"/>
        </w:rPr>
        <w:t xml:space="preserve"> 根据《关于防止领导干部在公款存放方面发生利益冲突和利益输送的办法》(浙委办发〔2015〕8号)、</w:t>
      </w:r>
      <w:r>
        <w:rPr>
          <w:rFonts w:hint="eastAsia" w:ascii="仿宋_GB2312" w:hAnsi="仿宋" w:eastAsia="仿宋_GB2312"/>
          <w:sz w:val="32"/>
          <w:szCs w:val="32"/>
        </w:rPr>
        <w:t>《杭州市市级行政事业单位公款竞争性存放管理暂行办法》</w:t>
      </w:r>
      <w:r>
        <w:rPr>
          <w:rFonts w:hint="eastAsia" w:ascii="仿宋_GB2312" w:hAnsi="仿宋" w:eastAsia="仿宋_GB2312"/>
          <w:color w:val="000000"/>
          <w:sz w:val="32"/>
          <w:szCs w:val="32"/>
        </w:rPr>
        <w:t>杭政办函〔2015〕117号</w:t>
      </w:r>
      <w:r>
        <w:rPr>
          <w:rFonts w:hint="eastAsia" w:ascii="仿宋_GB2312" w:hAnsi="仿宋" w:eastAsia="仿宋_GB2312" w:cs="仿宋_GB2312"/>
          <w:sz w:val="32"/>
          <w:szCs w:val="32"/>
        </w:rPr>
        <w:t>、《关于进一步规范市级行政事业单位公款竞争性存放管理的通知</w:t>
      </w:r>
      <w:r>
        <w:rPr>
          <w:rFonts w:hint="eastAsia" w:ascii="仿宋_GB2312" w:hAnsi="仿宋" w:eastAsia="仿宋_GB2312" w:cs="仿宋_GB2312"/>
          <w:bCs/>
          <w:sz w:val="32"/>
          <w:szCs w:val="32"/>
        </w:rPr>
        <w:t>》（   ）规定</w:t>
      </w:r>
      <w:r>
        <w:rPr>
          <w:rFonts w:hint="eastAsia" w:ascii="仿宋_GB2312" w:hAnsi="仿宋" w:eastAsia="仿宋_GB2312" w:cs="仿宋_GB2312"/>
          <w:sz w:val="32"/>
          <w:szCs w:val="32"/>
        </w:rPr>
        <w:t>，现就本行参加贵单位</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年第</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期</w:t>
      </w:r>
      <w:r>
        <w:rPr>
          <w:rFonts w:hint="eastAsia" w:ascii="仿宋_GB2312" w:hAnsi="仿宋" w:eastAsia="仿宋_GB2312" w:cs="仿宋_GB2312"/>
          <w:sz w:val="32"/>
          <w:szCs w:val="32"/>
          <w:u w:val="single"/>
        </w:rPr>
        <w:t xml:space="preserve">     </w:t>
      </w:r>
      <w:r>
        <w:rPr>
          <w:rFonts w:hint="eastAsia" w:ascii="仿宋_GB2312" w:hAnsi="仿宋" w:eastAsia="仿宋_GB2312" w:cs="仿宋_GB2312"/>
          <w:sz w:val="32"/>
          <w:szCs w:val="32"/>
        </w:rPr>
        <w:t>项目公款竞争性存放作出如下承诺：</w:t>
      </w:r>
    </w:p>
    <w:p>
      <w:pPr>
        <w:spacing w:line="500" w:lineRule="exact"/>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    1.不向贵单位负责公款存放管理的领导及相关人员进行利益输送；</w:t>
      </w:r>
    </w:p>
    <w:p>
      <w:pPr>
        <w:spacing w:line="500" w:lineRule="exact"/>
        <w:ind w:firstLine="624" w:firstLineChars="200"/>
        <w:rPr>
          <w:rFonts w:hint="eastAsia" w:ascii="仿宋_GB2312" w:hAnsi="仿宋_GB2312" w:eastAsia="仿宋_GB2312" w:cs="仿宋_GB2312"/>
          <w:sz w:val="32"/>
          <w:szCs w:val="32"/>
        </w:rPr>
      </w:pPr>
      <w:r>
        <w:rPr>
          <w:rFonts w:hint="eastAsia" w:ascii="仿宋_GB2312" w:hAnsi="仿宋" w:eastAsia="仿宋_GB2312" w:cs="仿宋_GB2312"/>
          <w:sz w:val="32"/>
          <w:szCs w:val="32"/>
        </w:rPr>
        <w:t>2.不将公款存放与贵单位负责公款存放管理的领导及相关</w:t>
      </w:r>
      <w:r>
        <w:rPr>
          <w:rFonts w:hint="eastAsia" w:ascii="仿宋_GB2312" w:hAnsi="仿宋_GB2312" w:eastAsia="仿宋_GB2312" w:cs="仿宋_GB2312"/>
          <w:sz w:val="32"/>
          <w:szCs w:val="32"/>
        </w:rPr>
        <w:t>人员在本行</w:t>
      </w:r>
      <w:r>
        <w:rPr>
          <w:rFonts w:hint="eastAsia" w:ascii="仿宋_GB2312" w:hAnsi="仿宋" w:eastAsia="仿宋_GB2312" w:cs="仿宋"/>
          <w:sz w:val="32"/>
          <w:szCs w:val="32"/>
        </w:rPr>
        <w:t>的配偶、子女及其配偶和其他直接利益相关人员</w:t>
      </w:r>
      <w:r>
        <w:rPr>
          <w:rFonts w:hint="eastAsia" w:ascii="仿宋_GB2312" w:hAnsi="仿宋_GB2312" w:eastAsia="仿宋_GB2312" w:cs="仿宋_GB2312"/>
          <w:sz w:val="32"/>
          <w:szCs w:val="32"/>
        </w:rPr>
        <w:t>的业绩、收入、晋升等利益挂钩；</w:t>
      </w:r>
    </w:p>
    <w:p>
      <w:pPr>
        <w:spacing w:line="500" w:lineRule="exact"/>
        <w:ind w:firstLine="624"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rPr>
        <w:t>3.</w:t>
      </w:r>
      <w:r>
        <w:rPr>
          <w:rFonts w:hint="eastAsia" w:ascii="仿宋_GB2312" w:hAnsi="仿宋" w:eastAsia="仿宋_GB2312" w:cs="仿宋"/>
          <w:sz w:val="32"/>
          <w:szCs w:val="32"/>
        </w:rPr>
        <w:t>严格执行利益回避制度，贵单位负责公款竞争性存放相关人员的配偶、子女及其配偶和其他直接利益相关人员为本行工作人员的，不参与公款竞争性存放工作；</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4.不发生除上述行为之外的其他任何利益输送行为。</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未遵守以上承诺的，本行自愿接受财政部门通报和处理，承担相应的一切后果。</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银行（公章）</w:t>
      </w:r>
    </w:p>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500" w:lineRule="exact"/>
        <w:rPr>
          <w:rFonts w:hint="eastAsia" w:ascii="仿宋_GB2312" w:hAnsi="仿宋_GB2312" w:eastAsia="仿宋_GB2312" w:cs="仿宋_GB2312"/>
          <w:sz w:val="32"/>
          <w:szCs w:val="32"/>
        </w:rPr>
        <w:sectPr>
          <w:headerReference r:id="rId3" w:type="default"/>
          <w:footerReference r:id="rId4" w:type="default"/>
          <w:pgSz w:w="11906" w:h="16838"/>
          <w:pgMar w:top="2098" w:right="1474" w:bottom="1985" w:left="1588" w:header="851" w:footer="1588" w:gutter="0"/>
          <w:cols w:space="720" w:num="1"/>
          <w:docGrid w:type="linesAndChars" w:linePitch="602" w:charSpace="-1675"/>
        </w:sectPr>
      </w:pPr>
    </w:p>
    <w:p>
      <w:pPr>
        <w:snapToGrid w:val="0"/>
        <w:spacing w:line="480" w:lineRule="exact"/>
        <w:rPr>
          <w:rFonts w:hint="eastAsia" w:ascii="仿宋_GB2312" w:hAnsi="黑体" w:eastAsia="仿宋_GB2312" w:cs="黑体"/>
          <w:sz w:val="32"/>
          <w:szCs w:val="32"/>
        </w:rPr>
      </w:pPr>
      <w:r>
        <w:rPr>
          <w:rFonts w:hint="eastAsia" w:ascii="仿宋_GB2312" w:hAnsi="黑体" w:eastAsia="仿宋_GB2312" w:cs="黑体"/>
          <w:sz w:val="32"/>
          <w:szCs w:val="32"/>
        </w:rPr>
        <w:t>附件5</w:t>
      </w:r>
    </w:p>
    <w:p>
      <w:pPr>
        <w:spacing w:line="480" w:lineRule="exact"/>
        <w:ind w:firstLine="600"/>
        <w:jc w:val="center"/>
        <w:rPr>
          <w:rFonts w:hint="eastAsia" w:ascii="仿宋_GB2312" w:hAnsi="方正小标宋简体" w:eastAsia="仿宋_GB2312" w:cs="方正小标宋简体"/>
          <w:bCs/>
          <w:spacing w:val="8"/>
          <w:kern w:val="0"/>
          <w:sz w:val="44"/>
          <w:szCs w:val="44"/>
        </w:rPr>
      </w:pPr>
      <w:r>
        <w:rPr>
          <w:rFonts w:hint="eastAsia" w:ascii="仿宋_GB2312" w:hAnsi="宋体" w:eastAsia="仿宋_GB2312" w:cs="宋体"/>
          <w:b/>
          <w:bCs/>
          <w:color w:val="000000"/>
          <w:kern w:val="0"/>
          <w:sz w:val="44"/>
          <w:szCs w:val="44"/>
        </w:rPr>
        <w:t>市级单位公款存放管理情况汇总表</w:t>
      </w:r>
    </w:p>
    <w:p>
      <w:pPr>
        <w:spacing w:line="480" w:lineRule="exact"/>
        <w:ind w:firstLine="600"/>
        <w:jc w:val="center"/>
        <w:rPr>
          <w:rFonts w:hint="eastAsia" w:ascii="仿宋_GB2312" w:hAnsi="宋体" w:eastAsia="仿宋_GB2312" w:cs="宋体"/>
          <w:b/>
          <w:spacing w:val="8"/>
          <w:kern w:val="0"/>
          <w:sz w:val="44"/>
          <w:szCs w:val="44"/>
        </w:rPr>
      </w:pPr>
      <w:r>
        <w:rPr>
          <w:rFonts w:hint="eastAsia" w:ascii="仿宋_GB2312" w:hAnsi="宋体" w:eastAsia="仿宋_GB2312" w:cs="宋体"/>
          <w:b/>
          <w:spacing w:val="8"/>
          <w:kern w:val="0"/>
          <w:sz w:val="28"/>
          <w:szCs w:val="28"/>
        </w:rPr>
        <w:t>年度</w:t>
      </w:r>
      <w:r>
        <w:rPr>
          <w:rFonts w:hint="eastAsia" w:ascii="仿宋_GB2312" w:hAnsi="宋体" w:eastAsia="仿宋_GB2312" w:cs="宋体"/>
          <w:b/>
          <w:spacing w:val="8"/>
          <w:kern w:val="0"/>
          <w:sz w:val="28"/>
          <w:szCs w:val="28"/>
          <w:u w:val="single"/>
        </w:rPr>
        <w:t xml:space="preserve">：     </w:t>
      </w:r>
      <w:r>
        <w:rPr>
          <w:rFonts w:hint="eastAsia" w:ascii="仿宋_GB2312" w:hAnsi="宋体" w:eastAsia="仿宋_GB2312" w:cs="宋体"/>
          <w:b/>
          <w:spacing w:val="8"/>
          <w:kern w:val="0"/>
          <w:sz w:val="28"/>
          <w:szCs w:val="28"/>
        </w:rPr>
        <w:t>年</w:t>
      </w:r>
    </w:p>
    <w:p>
      <w:pPr>
        <w:spacing w:line="480" w:lineRule="exact"/>
        <w:rPr>
          <w:rFonts w:hint="eastAsia" w:ascii="仿宋_GB2312" w:hAnsi="仿宋" w:eastAsia="仿宋_GB2312" w:cs="仿宋"/>
          <w:bCs/>
          <w:spacing w:val="8"/>
          <w:kern w:val="0"/>
          <w:szCs w:val="21"/>
        </w:rPr>
      </w:pPr>
      <w:r>
        <w:rPr>
          <w:rFonts w:hint="eastAsia" w:ascii="仿宋_GB2312" w:hAnsi="仿宋" w:eastAsia="仿宋_GB2312" w:cs="仿宋"/>
          <w:bCs/>
          <w:spacing w:val="8"/>
          <w:kern w:val="0"/>
          <w:szCs w:val="21"/>
        </w:rPr>
        <w:t xml:space="preserve">（主管部门盖章）                                                                                 </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441"/>
        <w:gridCol w:w="847"/>
        <w:gridCol w:w="696"/>
        <w:gridCol w:w="772"/>
        <w:gridCol w:w="687"/>
        <w:gridCol w:w="1250"/>
        <w:gridCol w:w="851"/>
        <w:gridCol w:w="1005"/>
        <w:gridCol w:w="951"/>
        <w:gridCol w:w="737"/>
        <w:gridCol w:w="1020"/>
        <w:gridCol w:w="1168"/>
        <w:gridCol w:w="885"/>
        <w:gridCol w:w="829"/>
        <w:gridCol w:w="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5" w:hRule="atLeast"/>
        </w:trPr>
        <w:tc>
          <w:tcPr>
            <w:tcW w:w="441" w:type="dxa"/>
            <w:tcBorders>
              <w:tl2br w:val="nil"/>
              <w:tr2bl w:val="nil"/>
            </w:tcBorders>
            <w:vAlign w:val="center"/>
          </w:tcPr>
          <w:p>
            <w:pPr>
              <w:spacing w:line="240" w:lineRule="exact"/>
              <w:rPr>
                <w:rFonts w:hint="eastAsia" w:ascii="仿宋_GB2312" w:hAnsi="仿宋" w:eastAsia="仿宋_GB2312" w:cs="仿宋"/>
                <w:szCs w:val="21"/>
              </w:rPr>
            </w:pPr>
            <w:r>
              <w:rPr>
                <w:rFonts w:hint="eastAsia" w:ascii="仿宋_GB2312" w:hAnsi="宋体" w:eastAsia="仿宋_GB2312" w:cs="宋体"/>
                <w:color w:val="000000"/>
                <w:kern w:val="0"/>
                <w:sz w:val="20"/>
              </w:rPr>
              <w:t>预算编码</w:t>
            </w:r>
          </w:p>
        </w:tc>
        <w:tc>
          <w:tcPr>
            <w:tcW w:w="847" w:type="dxa"/>
            <w:tcBorders>
              <w:tl2br w:val="nil"/>
              <w:tr2bl w:val="nil"/>
            </w:tcBorders>
            <w:vAlign w:val="center"/>
          </w:tcPr>
          <w:p>
            <w:pPr>
              <w:autoSpaceDN w:val="0"/>
              <w:spacing w:line="240" w:lineRule="exact"/>
              <w:rPr>
                <w:rFonts w:hint="eastAsia" w:ascii="仿宋_GB2312" w:hAnsi="仿宋" w:eastAsia="仿宋_GB2312" w:cs="仿宋"/>
                <w:szCs w:val="21"/>
              </w:rPr>
            </w:pPr>
            <w:r>
              <w:rPr>
                <w:rFonts w:hint="eastAsia" w:ascii="仿宋_GB2312" w:hAnsi="宋体" w:eastAsia="仿宋_GB2312" w:cs="宋体"/>
                <w:color w:val="000000"/>
                <w:kern w:val="0"/>
                <w:sz w:val="20"/>
              </w:rPr>
              <w:t>单位全称</w:t>
            </w:r>
          </w:p>
        </w:tc>
        <w:tc>
          <w:tcPr>
            <w:tcW w:w="696" w:type="dxa"/>
            <w:tcBorders>
              <w:tl2br w:val="nil"/>
              <w:tr2bl w:val="nil"/>
            </w:tcBorders>
            <w:vAlign w:val="center"/>
          </w:tcPr>
          <w:p>
            <w:pPr>
              <w:autoSpaceDN w:val="0"/>
              <w:spacing w:line="240" w:lineRule="exact"/>
              <w:jc w:val="center"/>
              <w:textAlignment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单位</w:t>
            </w:r>
          </w:p>
          <w:p>
            <w:pPr>
              <w:autoSpaceDN w:val="0"/>
              <w:spacing w:line="240" w:lineRule="exact"/>
              <w:jc w:val="center"/>
              <w:textAlignment w:val="center"/>
              <w:rPr>
                <w:rFonts w:hint="eastAsia" w:ascii="仿宋_GB2312" w:hAnsi="仿宋" w:eastAsia="仿宋_GB2312" w:cs="仿宋"/>
                <w:szCs w:val="21"/>
              </w:rPr>
            </w:pPr>
            <w:r>
              <w:rPr>
                <w:rFonts w:hint="eastAsia" w:ascii="仿宋_GB2312" w:hAnsi="宋体" w:eastAsia="仿宋_GB2312" w:cs="宋体"/>
                <w:color w:val="000000"/>
                <w:kern w:val="0"/>
                <w:sz w:val="20"/>
              </w:rPr>
              <w:t>性质</w:t>
            </w:r>
          </w:p>
        </w:tc>
        <w:tc>
          <w:tcPr>
            <w:tcW w:w="772"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szCs w:val="21"/>
              </w:rPr>
            </w:pPr>
            <w:r>
              <w:rPr>
                <w:rFonts w:hint="eastAsia" w:ascii="仿宋_GB2312" w:hAnsi="宋体" w:eastAsia="仿宋_GB2312" w:cs="宋体"/>
                <w:color w:val="000000"/>
                <w:kern w:val="0"/>
                <w:sz w:val="20"/>
              </w:rPr>
              <w:t>账户名称</w:t>
            </w:r>
          </w:p>
        </w:tc>
        <w:tc>
          <w:tcPr>
            <w:tcW w:w="687" w:type="dxa"/>
            <w:tcBorders>
              <w:tl2br w:val="nil"/>
              <w:tr2bl w:val="nil"/>
            </w:tcBorders>
            <w:vAlign w:val="center"/>
          </w:tcPr>
          <w:p>
            <w:pPr>
              <w:autoSpaceDN w:val="0"/>
              <w:spacing w:line="240" w:lineRule="exact"/>
              <w:ind w:right="96"/>
              <w:jc w:val="right"/>
              <w:textAlignment w:val="center"/>
              <w:rPr>
                <w:rFonts w:hint="eastAsia" w:ascii="仿宋_GB2312" w:hAnsi="仿宋" w:eastAsia="仿宋_GB2312" w:cs="仿宋"/>
                <w:b/>
                <w:color w:val="000000"/>
                <w:szCs w:val="21"/>
              </w:rPr>
            </w:pPr>
            <w:r>
              <w:rPr>
                <w:rFonts w:hint="eastAsia" w:ascii="仿宋_GB2312" w:hAnsi="宋体" w:eastAsia="仿宋_GB2312" w:cs="宋体"/>
                <w:color w:val="000000"/>
                <w:kern w:val="0"/>
                <w:sz w:val="20"/>
              </w:rPr>
              <w:t>账号</w:t>
            </w:r>
          </w:p>
        </w:tc>
        <w:tc>
          <w:tcPr>
            <w:tcW w:w="1250" w:type="dxa"/>
            <w:tcBorders>
              <w:tl2br w:val="nil"/>
              <w:tr2bl w:val="nil"/>
            </w:tcBorders>
            <w:vAlign w:val="center"/>
          </w:tcPr>
          <w:p>
            <w:pPr>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开户</w:t>
            </w:r>
          </w:p>
          <w:p>
            <w:pPr>
              <w:spacing w:line="240" w:lineRule="exact"/>
              <w:jc w:val="center"/>
              <w:rPr>
                <w:rFonts w:hint="eastAsia" w:ascii="仿宋_GB2312" w:hAnsi="仿宋" w:eastAsia="仿宋_GB2312" w:cs="仿宋"/>
                <w:szCs w:val="21"/>
              </w:rPr>
            </w:pPr>
            <w:r>
              <w:rPr>
                <w:rFonts w:hint="eastAsia" w:ascii="仿宋_GB2312" w:hAnsi="宋体" w:eastAsia="仿宋_GB2312" w:cs="宋体"/>
                <w:color w:val="000000"/>
                <w:kern w:val="0"/>
                <w:szCs w:val="21"/>
              </w:rPr>
              <w:t>银行</w:t>
            </w:r>
          </w:p>
        </w:tc>
        <w:tc>
          <w:tcPr>
            <w:tcW w:w="851" w:type="dxa"/>
            <w:tcBorders>
              <w:tl2br w:val="nil"/>
              <w:tr2bl w:val="nil"/>
            </w:tcBorders>
            <w:vAlign w:val="center"/>
          </w:tcPr>
          <w:p>
            <w:pPr>
              <w:autoSpaceDN w:val="0"/>
              <w:spacing w:line="240" w:lineRule="exact"/>
              <w:jc w:val="center"/>
              <w:textAlignment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账户</w:t>
            </w:r>
          </w:p>
          <w:p>
            <w:pPr>
              <w:autoSpaceDN w:val="0"/>
              <w:spacing w:line="240" w:lineRule="exact"/>
              <w:jc w:val="center"/>
              <w:textAlignment w:val="center"/>
              <w:rPr>
                <w:rFonts w:hint="eastAsia" w:ascii="仿宋_GB2312" w:hAnsi="仿宋" w:eastAsia="仿宋_GB2312" w:cs="仿宋"/>
                <w:b/>
                <w:color w:val="000000"/>
                <w:szCs w:val="21"/>
              </w:rPr>
            </w:pPr>
            <w:r>
              <w:rPr>
                <w:rFonts w:hint="eastAsia" w:ascii="仿宋_GB2312" w:hAnsi="宋体" w:eastAsia="仿宋_GB2312" w:cs="宋体"/>
                <w:color w:val="000000"/>
                <w:kern w:val="0"/>
                <w:sz w:val="20"/>
              </w:rPr>
              <w:t>类别</w:t>
            </w:r>
          </w:p>
        </w:tc>
        <w:tc>
          <w:tcPr>
            <w:tcW w:w="1005" w:type="dxa"/>
            <w:tcBorders>
              <w:tl2br w:val="nil"/>
              <w:tr2bl w:val="nil"/>
            </w:tcBorders>
            <w:vAlign w:val="center"/>
          </w:tcPr>
          <w:p>
            <w:pPr>
              <w:autoSpaceDN w:val="0"/>
              <w:spacing w:line="240" w:lineRule="exact"/>
              <w:jc w:val="center"/>
              <w:textAlignment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账户</w:t>
            </w:r>
          </w:p>
          <w:p>
            <w:pPr>
              <w:autoSpaceDN w:val="0"/>
              <w:spacing w:line="240" w:lineRule="exact"/>
              <w:jc w:val="center"/>
              <w:textAlignment w:val="center"/>
              <w:rPr>
                <w:rFonts w:hint="eastAsia" w:ascii="仿宋_GB2312" w:hAnsi="仿宋" w:eastAsia="仿宋_GB2312" w:cs="仿宋"/>
                <w:szCs w:val="21"/>
              </w:rPr>
            </w:pPr>
            <w:r>
              <w:rPr>
                <w:rFonts w:hint="eastAsia" w:ascii="仿宋_GB2312" w:hAnsi="宋体" w:eastAsia="仿宋_GB2312" w:cs="宋体"/>
                <w:color w:val="000000"/>
                <w:kern w:val="0"/>
                <w:sz w:val="20"/>
              </w:rPr>
              <w:t>性质</w:t>
            </w:r>
          </w:p>
        </w:tc>
        <w:tc>
          <w:tcPr>
            <w:tcW w:w="951" w:type="dxa"/>
            <w:tcBorders>
              <w:tl2br w:val="nil"/>
              <w:tr2bl w:val="nil"/>
            </w:tcBorders>
            <w:vAlign w:val="center"/>
          </w:tcPr>
          <w:p>
            <w:pPr>
              <w:autoSpaceDN w:val="0"/>
              <w:spacing w:line="240" w:lineRule="exact"/>
              <w:jc w:val="center"/>
              <w:textAlignment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账户</w:t>
            </w:r>
          </w:p>
          <w:p>
            <w:pPr>
              <w:autoSpaceDN w:val="0"/>
              <w:spacing w:line="240" w:lineRule="exact"/>
              <w:jc w:val="center"/>
              <w:textAlignment w:val="center"/>
              <w:rPr>
                <w:rFonts w:hint="eastAsia" w:ascii="仿宋_GB2312" w:hAnsi="仿宋" w:eastAsia="仿宋_GB2312" w:cs="仿宋"/>
                <w:szCs w:val="21"/>
              </w:rPr>
            </w:pPr>
            <w:r>
              <w:rPr>
                <w:rFonts w:hint="eastAsia" w:ascii="仿宋_GB2312" w:hAnsi="宋体" w:eastAsia="仿宋_GB2312" w:cs="宋体"/>
                <w:color w:val="000000"/>
                <w:kern w:val="0"/>
                <w:sz w:val="20"/>
              </w:rPr>
              <w:t>用途</w:t>
            </w:r>
          </w:p>
        </w:tc>
        <w:tc>
          <w:tcPr>
            <w:tcW w:w="737" w:type="dxa"/>
            <w:tcBorders>
              <w:tl2br w:val="nil"/>
              <w:tr2bl w:val="nil"/>
            </w:tcBorders>
            <w:vAlign w:val="center"/>
          </w:tcPr>
          <w:p>
            <w:pPr>
              <w:autoSpaceDN w:val="0"/>
              <w:spacing w:line="240" w:lineRule="exact"/>
              <w:jc w:val="center"/>
              <w:textAlignment w:val="center"/>
              <w:rPr>
                <w:rFonts w:hint="eastAsia" w:ascii="仿宋_GB2312" w:hAnsi="宋体" w:eastAsia="仿宋_GB2312" w:cs="宋体"/>
                <w:color w:val="000000"/>
                <w:kern w:val="0"/>
                <w:sz w:val="20"/>
              </w:rPr>
            </w:pPr>
            <w:r>
              <w:rPr>
                <w:rFonts w:hint="eastAsia" w:ascii="仿宋_GB2312" w:hAnsi="宋体" w:eastAsia="仿宋_GB2312" w:cs="宋体"/>
                <w:color w:val="000000"/>
                <w:kern w:val="0"/>
                <w:sz w:val="20"/>
              </w:rPr>
              <w:t>起始</w:t>
            </w:r>
          </w:p>
          <w:p>
            <w:pPr>
              <w:autoSpaceDN w:val="0"/>
              <w:spacing w:line="240" w:lineRule="exact"/>
              <w:jc w:val="center"/>
              <w:textAlignment w:val="center"/>
              <w:rPr>
                <w:rFonts w:hint="eastAsia" w:ascii="仿宋_GB2312" w:hAnsi="仿宋" w:eastAsia="仿宋_GB2312" w:cs="仿宋"/>
                <w:szCs w:val="21"/>
              </w:rPr>
            </w:pPr>
            <w:r>
              <w:rPr>
                <w:rFonts w:hint="eastAsia" w:ascii="仿宋_GB2312" w:hAnsi="宋体" w:eastAsia="仿宋_GB2312" w:cs="宋体"/>
                <w:color w:val="000000"/>
                <w:kern w:val="0"/>
                <w:sz w:val="20"/>
              </w:rPr>
              <w:t>日期</w:t>
            </w:r>
          </w:p>
        </w:tc>
        <w:tc>
          <w:tcPr>
            <w:tcW w:w="1020" w:type="dxa"/>
            <w:tcBorders>
              <w:right w:val="single" w:color="auto" w:sz="4" w:space="0"/>
              <w:tl2br w:val="nil"/>
              <w:tr2bl w:val="nil"/>
            </w:tcBorders>
            <w:vAlign w:val="center"/>
          </w:tcPr>
          <w:p>
            <w:pPr>
              <w:autoSpaceDN w:val="0"/>
              <w:spacing w:line="240" w:lineRule="exact"/>
              <w:jc w:val="center"/>
              <w:textAlignment w:val="center"/>
              <w:rPr>
                <w:rFonts w:hint="eastAsia" w:ascii="仿宋_GB2312" w:hAnsi="仿宋" w:eastAsia="仿宋_GB2312" w:cs="仿宋"/>
                <w:szCs w:val="21"/>
              </w:rPr>
            </w:pPr>
            <w:r>
              <w:rPr>
                <w:rFonts w:hint="eastAsia" w:ascii="仿宋_GB2312" w:hAnsi="宋体" w:eastAsia="仿宋_GB2312" w:cs="宋体"/>
                <w:color w:val="000000"/>
                <w:kern w:val="0"/>
                <w:sz w:val="20"/>
              </w:rPr>
              <w:t>账户余额（单位：万元）</w:t>
            </w:r>
          </w:p>
        </w:tc>
        <w:tc>
          <w:tcPr>
            <w:tcW w:w="1168" w:type="dxa"/>
            <w:tcBorders>
              <w:left w:val="single" w:color="auto" w:sz="4" w:space="0"/>
              <w:tl2br w:val="nil"/>
              <w:tr2bl w:val="nil"/>
            </w:tcBorders>
            <w:vAlign w:val="center"/>
          </w:tcPr>
          <w:p>
            <w:pPr>
              <w:autoSpaceDN w:val="0"/>
              <w:spacing w:line="24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是否纳入“三重一大”集体决策研究</w:t>
            </w:r>
          </w:p>
        </w:tc>
        <w:tc>
          <w:tcPr>
            <w:tcW w:w="885" w:type="dxa"/>
            <w:tcBorders>
              <w:right w:val="single" w:color="auto" w:sz="4" w:space="0"/>
              <w:tl2br w:val="nil"/>
              <w:tr2bl w:val="nil"/>
            </w:tcBorders>
            <w:vAlign w:val="center"/>
          </w:tcPr>
          <w:p>
            <w:pPr>
              <w:autoSpaceDN w:val="0"/>
              <w:spacing w:line="240" w:lineRule="exact"/>
              <w:jc w:val="center"/>
              <w:textAlignment w:val="center"/>
              <w:rPr>
                <w:rFonts w:hint="eastAsia" w:ascii="仿宋_GB2312" w:hAnsi="仿宋" w:eastAsia="仿宋_GB2312" w:cs="仿宋"/>
                <w:szCs w:val="21"/>
              </w:rPr>
            </w:pPr>
            <w:r>
              <w:rPr>
                <w:rFonts w:hint="eastAsia" w:ascii="仿宋_GB2312" w:hAnsi="宋体" w:eastAsia="仿宋_GB2312" w:cs="宋体"/>
                <w:color w:val="000000"/>
                <w:kern w:val="0"/>
                <w:sz w:val="20"/>
              </w:rPr>
              <w:t>是否实行竞争性存放</w:t>
            </w:r>
          </w:p>
        </w:tc>
        <w:tc>
          <w:tcPr>
            <w:tcW w:w="829" w:type="dxa"/>
            <w:tcBorders>
              <w:left w:val="single" w:color="auto" w:sz="4" w:space="0"/>
              <w:tl2br w:val="nil"/>
              <w:tr2bl w:val="nil"/>
            </w:tcBorders>
            <w:vAlign w:val="center"/>
          </w:tcPr>
          <w:p>
            <w:pPr>
              <w:autoSpaceDN w:val="0"/>
              <w:spacing w:line="240" w:lineRule="exact"/>
              <w:jc w:val="center"/>
              <w:textAlignment w:val="center"/>
              <w:rPr>
                <w:rFonts w:hint="eastAsia" w:ascii="仿宋_GB2312" w:hAnsi="仿宋" w:eastAsia="仿宋_GB2312" w:cs="仿宋"/>
                <w:szCs w:val="21"/>
              </w:rPr>
            </w:pPr>
            <w:r>
              <w:rPr>
                <w:rFonts w:hint="eastAsia" w:ascii="仿宋_GB2312" w:hAnsi="宋体" w:eastAsia="仿宋_GB2312" w:cs="宋体"/>
                <w:color w:val="000000"/>
                <w:kern w:val="0"/>
                <w:sz w:val="20"/>
              </w:rPr>
              <w:t>合同有效期</w:t>
            </w:r>
          </w:p>
        </w:tc>
        <w:tc>
          <w:tcPr>
            <w:tcW w:w="641"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szCs w:val="21"/>
              </w:rPr>
            </w:pPr>
            <w:r>
              <w:rPr>
                <w:rFonts w:hint="eastAsia" w:ascii="仿宋_GB2312" w:hAnsi="宋体" w:eastAsia="仿宋_GB2312" w:cs="宋体"/>
                <w:color w:val="000000"/>
                <w:kern w:val="0"/>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5" w:hRule="atLeast"/>
        </w:trPr>
        <w:tc>
          <w:tcPr>
            <w:tcW w:w="441"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b/>
                <w:color w:val="000000"/>
                <w:szCs w:val="21"/>
              </w:rPr>
            </w:pPr>
          </w:p>
        </w:tc>
        <w:tc>
          <w:tcPr>
            <w:tcW w:w="847"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96"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772"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87"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250"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51"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005"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951"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737"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020" w:type="dxa"/>
            <w:tcBorders>
              <w:right w:val="single" w:color="auto" w:sz="4" w:space="0"/>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168" w:type="dxa"/>
            <w:tcBorders>
              <w:left w:val="single" w:color="auto" w:sz="4" w:space="0"/>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85" w:type="dxa"/>
            <w:tcBorders>
              <w:right w:val="single" w:color="auto" w:sz="4" w:space="0"/>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29" w:type="dxa"/>
            <w:tcBorders>
              <w:left w:val="single" w:color="auto" w:sz="4" w:space="0"/>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41" w:type="dxa"/>
            <w:tcBorders>
              <w:tl2br w:val="nil"/>
              <w:tr2bl w:val="nil"/>
            </w:tcBorders>
            <w:vAlign w:val="center"/>
          </w:tcPr>
          <w:p>
            <w:pPr>
              <w:autoSpaceDN w:val="0"/>
              <w:spacing w:line="240" w:lineRule="exact"/>
              <w:jc w:val="center"/>
              <w:textAlignment w:val="center"/>
              <w:rPr>
                <w:rFonts w:hint="eastAsia" w:ascii="仿宋_GB2312" w:hAnsi="仿宋" w:eastAsia="仿宋_GB2312"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3" w:hRule="atLeast"/>
        </w:trPr>
        <w:tc>
          <w:tcPr>
            <w:tcW w:w="44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b/>
                <w:color w:val="000000"/>
                <w:szCs w:val="21"/>
              </w:rPr>
            </w:pPr>
          </w:p>
        </w:tc>
        <w:tc>
          <w:tcPr>
            <w:tcW w:w="847" w:type="dxa"/>
            <w:tcBorders>
              <w:left w:val="single" w:color="000000" w:sz="4" w:space="0"/>
              <w:bottom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96" w:type="dxa"/>
            <w:tcBorders>
              <w:top w:val="single" w:color="000000" w:sz="4" w:space="0"/>
              <w:left w:val="single" w:color="000000"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772" w:type="dxa"/>
            <w:tcBorders>
              <w:left w:val="single" w:color="000000"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87" w:type="dxa"/>
            <w:tcBorders>
              <w:top w:val="nil"/>
              <w:left w:val="single" w:color="000000"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250" w:type="dxa"/>
            <w:tcBorders>
              <w:top w:val="nil"/>
              <w:left w:val="single" w:color="000000"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51" w:type="dxa"/>
            <w:tcBorders>
              <w:top w:val="nil"/>
              <w:left w:val="single" w:color="000000"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005" w:type="dxa"/>
            <w:tcBorders>
              <w:top w:val="nil"/>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951" w:type="dxa"/>
            <w:tcBorders>
              <w:top w:val="nil"/>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737" w:type="dxa"/>
            <w:tcBorders>
              <w:top w:val="single" w:color="000000" w:sz="4" w:space="0"/>
              <w:left w:val="single" w:color="000000"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020" w:type="dxa"/>
            <w:tcBorders>
              <w:top w:val="single" w:color="000000" w:sz="4" w:space="0"/>
              <w:left w:val="single" w:color="000000" w:sz="4" w:space="0"/>
              <w:bottom w:val="single" w:color="000000" w:sz="4" w:space="0"/>
              <w:right w:val="single" w:color="auto"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168" w:type="dxa"/>
            <w:tcBorders>
              <w:top w:val="single" w:color="000000" w:sz="4" w:space="0"/>
              <w:left w:val="single" w:color="auto"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85" w:type="dxa"/>
            <w:tcBorders>
              <w:top w:val="single" w:color="000000" w:sz="4" w:space="0"/>
              <w:left w:val="single" w:color="000000" w:sz="4" w:space="0"/>
              <w:bottom w:val="single" w:color="000000" w:sz="4" w:space="0"/>
              <w:right w:val="single" w:color="auto"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29" w:type="dxa"/>
            <w:tcBorders>
              <w:top w:val="single" w:color="000000" w:sz="4" w:space="0"/>
              <w:left w:val="single" w:color="auto"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41" w:type="dxa"/>
            <w:tcBorders>
              <w:left w:val="single" w:color="000000"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3" w:hRule="atLeast"/>
        </w:trPr>
        <w:tc>
          <w:tcPr>
            <w:tcW w:w="44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rPr>
                <w:rFonts w:hint="eastAsia" w:ascii="仿宋_GB2312" w:hAnsi="仿宋" w:eastAsia="仿宋_GB2312" w:cs="仿宋"/>
                <w:color w:val="000000"/>
                <w:szCs w:val="21"/>
              </w:rPr>
            </w:pPr>
          </w:p>
        </w:tc>
        <w:tc>
          <w:tcPr>
            <w:tcW w:w="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7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250" w:type="dxa"/>
            <w:tcBorders>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51" w:type="dxa"/>
            <w:tcBorders>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95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737" w:type="dxa"/>
            <w:tcBorders>
              <w:top w:val="single" w:color="000000" w:sz="4" w:space="0"/>
              <w:left w:val="single" w:color="000000"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020" w:type="dxa"/>
            <w:tcBorders>
              <w:top w:val="single" w:color="000000" w:sz="4" w:space="0"/>
              <w:left w:val="single" w:color="000000" w:sz="4" w:space="0"/>
              <w:bottom w:val="single" w:color="000000" w:sz="4" w:space="0"/>
              <w:right w:val="single" w:color="auto"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168" w:type="dxa"/>
            <w:tcBorders>
              <w:top w:val="single" w:color="000000" w:sz="4" w:space="0"/>
              <w:left w:val="single" w:color="auto" w:sz="4" w:space="0"/>
              <w:bottom w:val="single" w:color="000000" w:sz="4" w:space="0"/>
              <w:right w:val="single" w:color="000000"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85" w:type="dxa"/>
            <w:tcBorders>
              <w:top w:val="single" w:color="000000" w:sz="4" w:space="0"/>
              <w:left w:val="single" w:color="000000" w:sz="4" w:space="0"/>
              <w:bottom w:val="single" w:color="000000" w:sz="4" w:space="0"/>
              <w:right w:val="single" w:color="auto"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29" w:type="dxa"/>
            <w:tcBorders>
              <w:top w:val="single" w:color="000000" w:sz="4" w:space="0"/>
              <w:left w:val="single" w:color="auto" w:sz="4" w:space="0"/>
              <w:bottom w:val="single" w:color="000000" w:sz="4" w:space="0"/>
              <w:right w:val="single" w:color="000000"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4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rPr>
                <w:rFonts w:hint="eastAsia" w:ascii="仿宋_GB2312" w:hAnsi="仿宋" w:eastAsia="仿宋_GB2312"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3" w:hRule="atLeast"/>
        </w:trPr>
        <w:tc>
          <w:tcPr>
            <w:tcW w:w="44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rPr>
                <w:rFonts w:hint="eastAsia" w:ascii="仿宋_GB2312" w:hAnsi="仿宋" w:eastAsia="仿宋_GB2312" w:cs="仿宋"/>
                <w:color w:val="000000"/>
                <w:szCs w:val="21"/>
              </w:rPr>
            </w:pPr>
          </w:p>
        </w:tc>
        <w:tc>
          <w:tcPr>
            <w:tcW w:w="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7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2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5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95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737" w:type="dxa"/>
            <w:tcBorders>
              <w:top w:val="single" w:color="000000" w:sz="4" w:space="0"/>
              <w:left w:val="single" w:color="000000"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020" w:type="dxa"/>
            <w:tcBorders>
              <w:top w:val="single" w:color="000000" w:sz="4" w:space="0"/>
              <w:left w:val="single" w:color="000000" w:sz="4" w:space="0"/>
              <w:bottom w:val="single" w:color="000000" w:sz="4" w:space="0"/>
              <w:right w:val="single" w:color="auto"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168" w:type="dxa"/>
            <w:tcBorders>
              <w:top w:val="single" w:color="000000" w:sz="4" w:space="0"/>
              <w:left w:val="single" w:color="auto" w:sz="4" w:space="0"/>
              <w:bottom w:val="single" w:color="000000" w:sz="4" w:space="0"/>
              <w:right w:val="single" w:color="000000"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85" w:type="dxa"/>
            <w:tcBorders>
              <w:top w:val="single" w:color="000000" w:sz="4" w:space="0"/>
              <w:left w:val="single" w:color="000000" w:sz="4" w:space="0"/>
              <w:bottom w:val="single" w:color="000000" w:sz="4" w:space="0"/>
              <w:right w:val="single" w:color="auto"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29" w:type="dxa"/>
            <w:tcBorders>
              <w:top w:val="single" w:color="000000" w:sz="4" w:space="0"/>
              <w:left w:val="single" w:color="auto" w:sz="4" w:space="0"/>
              <w:bottom w:val="single" w:color="000000" w:sz="4" w:space="0"/>
              <w:right w:val="single" w:color="000000"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4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rPr>
                <w:rFonts w:hint="eastAsia" w:ascii="仿宋_GB2312" w:hAnsi="仿宋" w:eastAsia="仿宋_GB2312"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3" w:hRule="atLeast"/>
        </w:trPr>
        <w:tc>
          <w:tcPr>
            <w:tcW w:w="44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rPr>
                <w:rFonts w:hint="eastAsia" w:ascii="仿宋_GB2312" w:hAnsi="仿宋" w:eastAsia="仿宋_GB2312" w:cs="仿宋"/>
                <w:color w:val="000000"/>
                <w:szCs w:val="21"/>
              </w:rPr>
            </w:pPr>
          </w:p>
        </w:tc>
        <w:tc>
          <w:tcPr>
            <w:tcW w:w="69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7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2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5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95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737" w:type="dxa"/>
            <w:tcBorders>
              <w:top w:val="single" w:color="000000" w:sz="4" w:space="0"/>
              <w:left w:val="single" w:color="000000" w:sz="4" w:space="0"/>
              <w:bottom w:val="single" w:color="000000" w:sz="4" w:space="0"/>
              <w:right w:val="single" w:color="000000" w:sz="4" w:space="0"/>
              <w:tl2br w:val="nil"/>
              <w:tr2bl w:val="nil"/>
            </w:tcBorders>
            <w:shd w:val="solid" w:color="C0C0C0"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020" w:type="dxa"/>
            <w:tcBorders>
              <w:top w:val="single" w:color="000000" w:sz="4" w:space="0"/>
              <w:left w:val="single" w:color="000000" w:sz="4" w:space="0"/>
              <w:bottom w:val="single" w:color="000000" w:sz="4" w:space="0"/>
              <w:right w:val="single" w:color="auto"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1168" w:type="dxa"/>
            <w:tcBorders>
              <w:top w:val="single" w:color="000000" w:sz="4" w:space="0"/>
              <w:left w:val="single" w:color="auto" w:sz="4" w:space="0"/>
              <w:bottom w:val="single" w:color="000000" w:sz="4" w:space="0"/>
              <w:right w:val="single" w:color="000000"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85" w:type="dxa"/>
            <w:tcBorders>
              <w:top w:val="single" w:color="000000" w:sz="4" w:space="0"/>
              <w:left w:val="single" w:color="000000" w:sz="4" w:space="0"/>
              <w:bottom w:val="single" w:color="000000" w:sz="4" w:space="0"/>
              <w:right w:val="single" w:color="auto"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829" w:type="dxa"/>
            <w:tcBorders>
              <w:top w:val="single" w:color="000000" w:sz="4" w:space="0"/>
              <w:left w:val="single" w:color="auto" w:sz="4" w:space="0"/>
              <w:bottom w:val="single" w:color="000000" w:sz="4" w:space="0"/>
              <w:right w:val="single" w:color="000000" w:sz="4" w:space="0"/>
              <w:tl2br w:val="nil"/>
              <w:tr2bl w:val="nil"/>
            </w:tcBorders>
            <w:shd w:val="clear" w:color="FFFFFF" w:fill="auto"/>
            <w:vAlign w:val="center"/>
          </w:tcPr>
          <w:p>
            <w:pPr>
              <w:autoSpaceDN w:val="0"/>
              <w:spacing w:line="240" w:lineRule="exact"/>
              <w:jc w:val="center"/>
              <w:textAlignment w:val="center"/>
              <w:rPr>
                <w:rFonts w:hint="eastAsia" w:ascii="仿宋_GB2312" w:hAnsi="仿宋" w:eastAsia="仿宋_GB2312" w:cs="仿宋"/>
                <w:color w:val="000000"/>
                <w:szCs w:val="21"/>
              </w:rPr>
            </w:pPr>
          </w:p>
        </w:tc>
        <w:tc>
          <w:tcPr>
            <w:tcW w:w="641" w:type="dxa"/>
            <w:tcBorders>
              <w:top w:val="single" w:color="000000" w:sz="4" w:space="0"/>
              <w:left w:val="single" w:color="000000" w:sz="4" w:space="0"/>
              <w:bottom w:val="single" w:color="000000" w:sz="4" w:space="0"/>
              <w:right w:val="single" w:color="000000" w:sz="4" w:space="0"/>
              <w:tl2br w:val="nil"/>
              <w:tr2bl w:val="nil"/>
            </w:tcBorders>
            <w:vAlign w:val="center"/>
          </w:tcPr>
          <w:p>
            <w:pPr>
              <w:autoSpaceDN w:val="0"/>
              <w:spacing w:line="240" w:lineRule="exact"/>
              <w:jc w:val="center"/>
              <w:rPr>
                <w:rFonts w:hint="eastAsia" w:ascii="仿宋_GB2312" w:hAnsi="仿宋" w:eastAsia="仿宋_GB2312" w:cs="仿宋"/>
                <w:color w:val="000000"/>
                <w:szCs w:val="21"/>
              </w:rPr>
            </w:pPr>
          </w:p>
        </w:tc>
      </w:tr>
    </w:tbl>
    <w:p>
      <w:pPr>
        <w:spacing w:line="240" w:lineRule="exact"/>
        <w:rPr>
          <w:rFonts w:hint="eastAsia" w:ascii="仿宋_GB2312" w:hAnsi="仿宋" w:eastAsia="仿宋_GB2312" w:cs="仿宋"/>
          <w:bCs/>
          <w:spacing w:val="8"/>
          <w:kern w:val="0"/>
          <w:szCs w:val="21"/>
        </w:rPr>
      </w:pPr>
      <w:r>
        <w:rPr>
          <w:rFonts w:hint="eastAsia" w:ascii="仿宋_GB2312" w:hAnsi="仿宋" w:eastAsia="仿宋_GB2312" w:cs="仿宋"/>
          <w:bCs/>
          <w:spacing w:val="8"/>
          <w:kern w:val="0"/>
          <w:szCs w:val="21"/>
        </w:rPr>
        <w:t xml:space="preserve"> 填表人：                                                联系电话：</w:t>
      </w:r>
    </w:p>
    <w:p>
      <w:pPr>
        <w:spacing w:line="220" w:lineRule="exact"/>
        <w:rPr>
          <w:rFonts w:hint="eastAsia" w:ascii="仿宋_GB2312" w:hAnsi="宋体" w:eastAsia="仿宋_GB2312" w:cs="宋体"/>
          <w:color w:val="000000"/>
          <w:kern w:val="0"/>
          <w:sz w:val="22"/>
          <w:szCs w:val="22"/>
        </w:rPr>
      </w:pPr>
    </w:p>
    <w:p>
      <w:pPr>
        <w:spacing w:line="260" w:lineRule="exact"/>
        <w:rPr>
          <w:rFonts w:hint="eastAsia" w:ascii="仿宋_GB2312" w:hAnsi="仿宋" w:eastAsia="仿宋_GB2312" w:cs="仿宋"/>
          <w:bCs/>
          <w:spacing w:val="8"/>
          <w:kern w:val="0"/>
          <w:szCs w:val="21"/>
        </w:rPr>
      </w:pPr>
      <w:r>
        <w:rPr>
          <w:rFonts w:hint="eastAsia" w:ascii="仿宋_GB2312" w:hAnsi="仿宋" w:eastAsia="仿宋_GB2312" w:cs="宋体"/>
          <w:color w:val="000000"/>
          <w:kern w:val="0"/>
          <w:szCs w:val="21"/>
        </w:rPr>
        <w:t>填表说明：</w:t>
      </w:r>
    </w:p>
    <w:p>
      <w:pPr>
        <w:spacing w:line="260" w:lineRule="exact"/>
        <w:ind w:firstLine="404"/>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1.单位性质：（1）行政单位、（2）事业单位、（3）社会团体、（4）做地主体、（5）企业、（6）其他</w:t>
      </w:r>
    </w:p>
    <w:p>
      <w:pPr>
        <w:spacing w:line="260" w:lineRule="exact"/>
        <w:ind w:firstLine="404"/>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2.账户类别：（1）活期、（2）定期</w:t>
      </w:r>
    </w:p>
    <w:p>
      <w:pPr>
        <w:spacing w:line="260" w:lineRule="exact"/>
        <w:ind w:firstLine="404"/>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3.账户性质:活期包括（1）单位基本户、（2）食堂基本户  、（3）工会基本户、（4）专项资金户、（5）零余额账户、（6）一般存款账户；</w:t>
      </w:r>
    </w:p>
    <w:p>
      <w:pPr>
        <w:spacing w:line="260" w:lineRule="exact"/>
        <w:ind w:firstLine="1200" w:firstLineChars="594"/>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定期包括（1）1年定期、（2）3年定期、（3）5年定期、（4）7天通知存款、（5）3个月定期、（6）其他期限</w:t>
      </w:r>
    </w:p>
    <w:p>
      <w:pPr>
        <w:spacing w:line="260" w:lineRule="exact"/>
        <w:ind w:firstLine="404"/>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4.起始日期:活期账户是指账户开户日期，定期存款是指定期存款存入日期</w:t>
      </w:r>
    </w:p>
    <w:p>
      <w:pPr>
        <w:spacing w:line="260" w:lineRule="exact"/>
        <w:ind w:firstLine="404"/>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5.账户余额:以12月31日为基准日期，填写各账户存款金额</w:t>
      </w:r>
    </w:p>
    <w:p>
      <w:pPr>
        <w:spacing w:line="260" w:lineRule="exact"/>
        <w:ind w:firstLine="404"/>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6.是否纳入“三重一大”集体决策研究  （1）是、（2）否</w:t>
      </w:r>
    </w:p>
    <w:p>
      <w:pPr>
        <w:spacing w:line="260" w:lineRule="exact"/>
        <w:ind w:firstLine="404"/>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7.是否实行竞争性存放 （1）是、（2）否</w:t>
      </w:r>
    </w:p>
    <w:p>
      <w:pPr>
        <w:spacing w:line="260" w:lineRule="exact"/>
        <w:ind w:firstLine="404"/>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8.合同有效期:实施竞争性存放，招标单位与中标银行签订的账户管理或定期存款管理协议有效期</w:t>
      </w:r>
    </w:p>
    <w:p>
      <w:pPr>
        <w:spacing w:line="260" w:lineRule="exact"/>
        <w:ind w:firstLine="404"/>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9.备注:如未进行“三重一大”集体决策研究或实行竞争性存放请予以说明，其他需要说明事项</w:t>
      </w:r>
    </w:p>
    <w:p>
      <w:pPr>
        <w:spacing w:line="260" w:lineRule="exact"/>
        <w:ind w:firstLine="404"/>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10.会计结算中心子户由财政部门统一填列，单位无需填列结算中心子户、内部账户、过渡账户；财政部门统一招标开设的基本存款账户和零余额账户均填写实行竞争性存放</w:t>
      </w:r>
    </w:p>
    <w:p>
      <w:pPr>
        <w:rPr>
          <w:rFonts w:hint="eastAsia" w:ascii="仿宋_GB2312" w:hAnsi="黑体" w:eastAsia="仿宋_GB2312" w:cs="黑体"/>
          <w:sz w:val="32"/>
          <w:szCs w:val="32"/>
        </w:rPr>
      </w:pPr>
      <w:r>
        <w:rPr>
          <w:rFonts w:hint="eastAsia" w:ascii="仿宋_GB2312" w:hAnsi="黑体" w:eastAsia="仿宋_GB2312" w:cs="黑体"/>
          <w:sz w:val="32"/>
          <w:szCs w:val="32"/>
        </w:rPr>
        <w:t>附件6</w:t>
      </w:r>
    </w:p>
    <w:p>
      <w:pPr>
        <w:spacing w:line="500" w:lineRule="exact"/>
        <w:jc w:val="center"/>
        <w:rPr>
          <w:rFonts w:hint="eastAsia" w:ascii="仿宋_GB2312" w:hAnsi="方正小标宋简体" w:eastAsia="仿宋_GB2312" w:cs="方正小标宋简体"/>
          <w:bCs/>
          <w:spacing w:val="8"/>
          <w:kern w:val="0"/>
          <w:sz w:val="44"/>
          <w:szCs w:val="44"/>
        </w:rPr>
      </w:pPr>
      <w:r>
        <w:rPr>
          <w:rFonts w:hint="eastAsia" w:ascii="仿宋_GB2312" w:hAnsi="方正小标宋简体" w:eastAsia="仿宋_GB2312" w:cs="方正小标宋简体"/>
          <w:bCs/>
          <w:spacing w:val="8"/>
          <w:kern w:val="0"/>
          <w:sz w:val="44"/>
          <w:szCs w:val="44"/>
        </w:rPr>
        <w:t>市县单位规范公款存放管理情况汇总表</w:t>
      </w:r>
    </w:p>
    <w:p>
      <w:pPr>
        <w:spacing w:line="500" w:lineRule="exact"/>
        <w:jc w:val="center"/>
        <w:rPr>
          <w:rFonts w:hint="eastAsia"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年度：</w:t>
      </w:r>
      <w:r>
        <w:rPr>
          <w:rFonts w:hint="eastAsia" w:ascii="仿宋_GB2312" w:hAnsi="宋体" w:eastAsia="仿宋_GB2312" w:cs="宋体"/>
          <w:b/>
          <w:spacing w:val="8"/>
          <w:kern w:val="0"/>
          <w:sz w:val="28"/>
          <w:szCs w:val="28"/>
          <w:u w:val="single"/>
        </w:rPr>
        <w:t xml:space="preserve">   </w:t>
      </w:r>
      <w:r>
        <w:rPr>
          <w:rFonts w:hint="eastAsia" w:ascii="仿宋_GB2312" w:hAnsi="宋体" w:eastAsia="仿宋_GB2312" w:cs="宋体"/>
          <w:b/>
          <w:spacing w:val="8"/>
          <w:kern w:val="0"/>
          <w:sz w:val="28"/>
          <w:szCs w:val="28"/>
        </w:rPr>
        <w:t>年</w:t>
      </w:r>
    </w:p>
    <w:p>
      <w:pPr>
        <w:spacing w:line="500" w:lineRule="exact"/>
        <w:jc w:val="left"/>
        <w:rPr>
          <w:rFonts w:hint="eastAsia" w:ascii="仿宋_GB2312" w:hAnsi="仿宋" w:eastAsia="仿宋_GB2312" w:cs="仿宋"/>
          <w:bCs/>
          <w:spacing w:val="8"/>
          <w:kern w:val="0"/>
          <w:szCs w:val="21"/>
        </w:rPr>
      </w:pPr>
      <w:r>
        <w:rPr>
          <w:rFonts w:hint="eastAsia" w:ascii="仿宋_GB2312" w:hAnsi="仿宋" w:eastAsia="仿宋_GB2312" w:cs="仿宋"/>
          <w:bCs/>
          <w:spacing w:val="8"/>
          <w:kern w:val="0"/>
          <w:szCs w:val="21"/>
        </w:rPr>
        <w:t>地区：</w:t>
      </w:r>
      <w:r>
        <w:rPr>
          <w:rFonts w:hint="eastAsia" w:ascii="仿宋_GB2312" w:hAnsi="仿宋" w:eastAsia="仿宋_GB2312" w:cs="仿宋"/>
          <w:bCs/>
          <w:spacing w:val="8"/>
          <w:kern w:val="0"/>
          <w:szCs w:val="21"/>
          <w:u w:val="single"/>
        </w:rPr>
        <w:t xml:space="preserve">         </w:t>
      </w:r>
      <w:r>
        <w:rPr>
          <w:rFonts w:hint="eastAsia" w:ascii="仿宋_GB2312" w:hAnsi="仿宋" w:eastAsia="仿宋_GB2312" w:cs="仿宋"/>
          <w:bCs/>
          <w:spacing w:val="8"/>
          <w:kern w:val="0"/>
          <w:szCs w:val="21"/>
        </w:rPr>
        <w:t xml:space="preserve">市                                                                金额单位：万元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379"/>
        <w:gridCol w:w="839"/>
        <w:gridCol w:w="1544"/>
        <w:gridCol w:w="1978"/>
        <w:gridCol w:w="1575"/>
        <w:gridCol w:w="1281"/>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79" w:type="dxa"/>
            <w:vMerge w:val="restart"/>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1379" w:type="dxa"/>
            <w:vMerge w:val="restart"/>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行政区划</w:t>
            </w:r>
          </w:p>
        </w:tc>
        <w:tc>
          <w:tcPr>
            <w:tcW w:w="839" w:type="dxa"/>
            <w:vMerge w:val="restart"/>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级次</w:t>
            </w:r>
          </w:p>
        </w:tc>
        <w:tc>
          <w:tcPr>
            <w:tcW w:w="1544" w:type="dxa"/>
            <w:vMerge w:val="restart"/>
            <w:tcBorders>
              <w:right w:val="nil"/>
            </w:tcBorders>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年末单位公款余额</w:t>
            </w:r>
          </w:p>
        </w:tc>
        <w:tc>
          <w:tcPr>
            <w:tcW w:w="1978" w:type="dxa"/>
            <w:tcBorders>
              <w:left w:val="nil"/>
            </w:tcBorders>
            <w:vAlign w:val="center"/>
          </w:tcPr>
          <w:p>
            <w:pPr>
              <w:spacing w:line="240" w:lineRule="exact"/>
              <w:jc w:val="center"/>
              <w:rPr>
                <w:rFonts w:hint="eastAsia" w:ascii="仿宋_GB2312" w:hAnsi="仿宋_GB2312" w:eastAsia="仿宋_GB2312" w:cs="仿宋_GB2312"/>
                <w:sz w:val="10"/>
                <w:szCs w:val="10"/>
              </w:rPr>
            </w:pPr>
          </w:p>
        </w:tc>
        <w:tc>
          <w:tcPr>
            <w:tcW w:w="1575" w:type="dxa"/>
            <w:vMerge w:val="restart"/>
            <w:vAlign w:val="center"/>
          </w:tcPr>
          <w:p>
            <w:pPr>
              <w:spacing w:line="240" w:lineRule="exact"/>
              <w:jc w:val="center"/>
              <w:rPr>
                <w:rFonts w:hint="eastAsia" w:ascii="仿宋_GB2312" w:hAnsi="仿宋_GB2312" w:eastAsia="仿宋_GB2312" w:cs="仿宋_GB2312"/>
                <w:szCs w:val="21"/>
              </w:rPr>
            </w:pPr>
          </w:p>
        </w:tc>
        <w:tc>
          <w:tcPr>
            <w:tcW w:w="1281" w:type="dxa"/>
            <w:vMerge w:val="restart"/>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本年度竞争性存放累计金额</w:t>
            </w:r>
          </w:p>
        </w:tc>
        <w:tc>
          <w:tcPr>
            <w:tcW w:w="3496" w:type="dxa"/>
            <w:vMerge w:val="restart"/>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本年度竞争性存放次数</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79" w:type="dxa"/>
            <w:vMerge w:val="continue"/>
          </w:tcPr>
          <w:p>
            <w:pPr>
              <w:rPr>
                <w:rFonts w:hint="eastAsia" w:ascii="仿宋_GB2312" w:hAnsi="仿宋_GB2312" w:eastAsia="仿宋_GB2312" w:cs="仿宋_GB2312"/>
                <w:sz w:val="28"/>
                <w:szCs w:val="28"/>
              </w:rPr>
            </w:pPr>
          </w:p>
        </w:tc>
        <w:tc>
          <w:tcPr>
            <w:tcW w:w="1379" w:type="dxa"/>
            <w:vMerge w:val="continue"/>
          </w:tcPr>
          <w:p>
            <w:pPr>
              <w:rPr>
                <w:rFonts w:hint="eastAsia" w:ascii="仿宋_GB2312" w:hAnsi="仿宋_GB2312" w:eastAsia="仿宋_GB2312" w:cs="仿宋_GB2312"/>
                <w:sz w:val="28"/>
                <w:szCs w:val="28"/>
              </w:rPr>
            </w:pPr>
          </w:p>
        </w:tc>
        <w:tc>
          <w:tcPr>
            <w:tcW w:w="839" w:type="dxa"/>
            <w:vMerge w:val="continue"/>
          </w:tcPr>
          <w:p>
            <w:pPr>
              <w:rPr>
                <w:rFonts w:hint="eastAsia" w:ascii="仿宋_GB2312" w:hAnsi="仿宋_GB2312" w:eastAsia="仿宋_GB2312" w:cs="仿宋_GB2312"/>
                <w:sz w:val="28"/>
                <w:szCs w:val="28"/>
              </w:rPr>
            </w:pPr>
          </w:p>
        </w:tc>
        <w:tc>
          <w:tcPr>
            <w:tcW w:w="1544" w:type="dxa"/>
            <w:vMerge w:val="continue"/>
          </w:tcPr>
          <w:p>
            <w:pPr>
              <w:rPr>
                <w:rFonts w:hint="eastAsia" w:ascii="仿宋_GB2312" w:hAnsi="仿宋_GB2312" w:eastAsia="仿宋_GB2312" w:cs="仿宋_GB2312"/>
                <w:sz w:val="28"/>
                <w:szCs w:val="28"/>
              </w:rPr>
            </w:pPr>
          </w:p>
        </w:tc>
        <w:tc>
          <w:tcPr>
            <w:tcW w:w="1978" w:type="dxa"/>
          </w:tcPr>
          <w:p>
            <w:pPr>
              <w:rPr>
                <w:rFonts w:hint="eastAsia" w:ascii="仿宋_GB2312" w:hAnsi="仿宋_GB2312" w:eastAsia="仿宋_GB2312" w:cs="仿宋_GB2312"/>
                <w:sz w:val="28"/>
                <w:szCs w:val="28"/>
              </w:rPr>
            </w:pPr>
            <w:r>
              <w:rPr>
                <w:rFonts w:hint="eastAsia" w:ascii="仿宋_GB2312" w:hAnsi="仿宋_GB2312" w:eastAsia="仿宋_GB2312" w:cs="仿宋_GB2312"/>
                <w:szCs w:val="21"/>
              </w:rPr>
              <w:t>其中：定期存款余额</w:t>
            </w:r>
          </w:p>
        </w:tc>
        <w:tc>
          <w:tcPr>
            <w:tcW w:w="1575" w:type="dxa"/>
            <w:vMerge w:val="continue"/>
          </w:tcPr>
          <w:p>
            <w:pPr>
              <w:rPr>
                <w:rFonts w:hint="eastAsia" w:ascii="仿宋_GB2312" w:hAnsi="仿宋_GB2312" w:eastAsia="仿宋_GB2312" w:cs="仿宋_GB2312"/>
                <w:sz w:val="28"/>
                <w:szCs w:val="28"/>
              </w:rPr>
            </w:pPr>
          </w:p>
        </w:tc>
        <w:tc>
          <w:tcPr>
            <w:tcW w:w="1281" w:type="dxa"/>
            <w:vMerge w:val="continue"/>
          </w:tcPr>
          <w:p>
            <w:pPr>
              <w:rPr>
                <w:rFonts w:hint="eastAsia" w:ascii="仿宋_GB2312" w:hAnsi="仿宋_GB2312" w:eastAsia="仿宋_GB2312" w:cs="仿宋_GB2312"/>
                <w:sz w:val="28"/>
                <w:szCs w:val="28"/>
              </w:rPr>
            </w:pPr>
          </w:p>
        </w:tc>
        <w:tc>
          <w:tcPr>
            <w:tcW w:w="3496" w:type="dxa"/>
            <w:vMerge w:val="continue"/>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79" w:type="dxa"/>
            <w:shd w:val="clear" w:color="auto" w:fill="F3F3F3"/>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合计</w:t>
            </w:r>
          </w:p>
        </w:tc>
        <w:tc>
          <w:tcPr>
            <w:tcW w:w="1379" w:type="dxa"/>
            <w:shd w:val="clear" w:color="auto" w:fill="F3F3F3"/>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839" w:type="dxa"/>
            <w:shd w:val="clear" w:color="auto" w:fill="F3F3F3"/>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1544" w:type="dxa"/>
            <w:shd w:val="clear" w:color="auto" w:fill="F3F3F3"/>
          </w:tcPr>
          <w:p>
            <w:pPr>
              <w:jc w:val="center"/>
              <w:rPr>
                <w:rFonts w:hint="eastAsia" w:ascii="仿宋_GB2312" w:hAnsi="仿宋_GB2312" w:eastAsia="仿宋_GB2312" w:cs="仿宋_GB2312"/>
                <w:szCs w:val="21"/>
              </w:rPr>
            </w:pPr>
          </w:p>
        </w:tc>
        <w:tc>
          <w:tcPr>
            <w:tcW w:w="1978" w:type="dxa"/>
            <w:shd w:val="clear" w:color="auto" w:fill="F3F3F3"/>
          </w:tcPr>
          <w:p>
            <w:pPr>
              <w:jc w:val="center"/>
              <w:rPr>
                <w:rFonts w:hint="eastAsia" w:ascii="仿宋_GB2312" w:hAnsi="仿宋_GB2312" w:eastAsia="仿宋_GB2312" w:cs="仿宋_GB2312"/>
                <w:szCs w:val="21"/>
              </w:rPr>
            </w:pPr>
          </w:p>
        </w:tc>
        <w:tc>
          <w:tcPr>
            <w:tcW w:w="1575" w:type="dxa"/>
            <w:shd w:val="clear" w:color="auto" w:fill="F3F3F3"/>
          </w:tcPr>
          <w:p>
            <w:pPr>
              <w:jc w:val="center"/>
              <w:rPr>
                <w:rFonts w:hint="eastAsia" w:ascii="仿宋_GB2312" w:hAnsi="仿宋_GB2312" w:eastAsia="仿宋_GB2312" w:cs="仿宋_GB2312"/>
                <w:szCs w:val="21"/>
              </w:rPr>
            </w:pPr>
          </w:p>
        </w:tc>
        <w:tc>
          <w:tcPr>
            <w:tcW w:w="1281" w:type="dxa"/>
            <w:shd w:val="clear" w:color="auto" w:fill="F3F3F3"/>
          </w:tcPr>
          <w:p>
            <w:pPr>
              <w:jc w:val="center"/>
              <w:rPr>
                <w:rFonts w:hint="eastAsia" w:ascii="仿宋_GB2312" w:hAnsi="仿宋_GB2312" w:eastAsia="仿宋_GB2312" w:cs="仿宋_GB2312"/>
                <w:szCs w:val="21"/>
              </w:rPr>
            </w:pPr>
          </w:p>
        </w:tc>
        <w:tc>
          <w:tcPr>
            <w:tcW w:w="3496" w:type="dxa"/>
            <w:shd w:val="clear" w:color="auto" w:fill="F3F3F3"/>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79" w:type="dxa"/>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379" w:type="dxa"/>
          </w:tcPr>
          <w:p>
            <w:pPr>
              <w:jc w:val="center"/>
              <w:rPr>
                <w:rFonts w:hint="eastAsia" w:ascii="仿宋_GB2312" w:hAnsi="仿宋_GB2312" w:eastAsia="仿宋_GB2312" w:cs="仿宋_GB2312"/>
                <w:szCs w:val="21"/>
              </w:rPr>
            </w:pPr>
          </w:p>
        </w:tc>
        <w:tc>
          <w:tcPr>
            <w:tcW w:w="839" w:type="dxa"/>
          </w:tcPr>
          <w:p>
            <w:pPr>
              <w:jc w:val="center"/>
              <w:rPr>
                <w:rFonts w:hint="eastAsia" w:ascii="仿宋_GB2312" w:hAnsi="仿宋_GB2312" w:eastAsia="仿宋_GB2312" w:cs="仿宋_GB2312"/>
                <w:szCs w:val="21"/>
              </w:rPr>
            </w:pPr>
          </w:p>
        </w:tc>
        <w:tc>
          <w:tcPr>
            <w:tcW w:w="1544" w:type="dxa"/>
          </w:tcPr>
          <w:p>
            <w:pPr>
              <w:jc w:val="center"/>
              <w:rPr>
                <w:rFonts w:hint="eastAsia" w:ascii="仿宋_GB2312" w:hAnsi="仿宋_GB2312" w:eastAsia="仿宋_GB2312" w:cs="仿宋_GB2312"/>
                <w:szCs w:val="21"/>
              </w:rPr>
            </w:pPr>
          </w:p>
        </w:tc>
        <w:tc>
          <w:tcPr>
            <w:tcW w:w="1978" w:type="dxa"/>
          </w:tcPr>
          <w:p>
            <w:pPr>
              <w:jc w:val="center"/>
              <w:rPr>
                <w:rFonts w:hint="eastAsia" w:ascii="仿宋_GB2312" w:hAnsi="仿宋_GB2312" w:eastAsia="仿宋_GB2312" w:cs="仿宋_GB2312"/>
                <w:szCs w:val="21"/>
              </w:rPr>
            </w:pPr>
          </w:p>
        </w:tc>
        <w:tc>
          <w:tcPr>
            <w:tcW w:w="1575" w:type="dxa"/>
          </w:tcPr>
          <w:p>
            <w:pPr>
              <w:jc w:val="center"/>
              <w:rPr>
                <w:rFonts w:hint="eastAsia" w:ascii="仿宋_GB2312" w:hAnsi="仿宋_GB2312" w:eastAsia="仿宋_GB2312" w:cs="仿宋_GB2312"/>
                <w:szCs w:val="21"/>
              </w:rPr>
            </w:pPr>
          </w:p>
        </w:tc>
        <w:tc>
          <w:tcPr>
            <w:tcW w:w="1281" w:type="dxa"/>
          </w:tcPr>
          <w:p>
            <w:pPr>
              <w:jc w:val="center"/>
              <w:rPr>
                <w:rFonts w:hint="eastAsia" w:ascii="仿宋_GB2312" w:hAnsi="仿宋_GB2312" w:eastAsia="仿宋_GB2312" w:cs="仿宋_GB2312"/>
                <w:szCs w:val="21"/>
              </w:rPr>
            </w:pPr>
          </w:p>
        </w:tc>
        <w:tc>
          <w:tcPr>
            <w:tcW w:w="3496"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79" w:type="dxa"/>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379" w:type="dxa"/>
          </w:tcPr>
          <w:p>
            <w:pPr>
              <w:jc w:val="center"/>
              <w:rPr>
                <w:rFonts w:hint="eastAsia" w:ascii="仿宋_GB2312" w:hAnsi="仿宋_GB2312" w:eastAsia="仿宋_GB2312" w:cs="仿宋_GB2312"/>
                <w:szCs w:val="21"/>
              </w:rPr>
            </w:pPr>
          </w:p>
        </w:tc>
        <w:tc>
          <w:tcPr>
            <w:tcW w:w="839" w:type="dxa"/>
          </w:tcPr>
          <w:p>
            <w:pPr>
              <w:jc w:val="center"/>
              <w:rPr>
                <w:rFonts w:hint="eastAsia" w:ascii="仿宋_GB2312" w:hAnsi="仿宋_GB2312" w:eastAsia="仿宋_GB2312" w:cs="仿宋_GB2312"/>
                <w:szCs w:val="21"/>
              </w:rPr>
            </w:pPr>
          </w:p>
        </w:tc>
        <w:tc>
          <w:tcPr>
            <w:tcW w:w="1544" w:type="dxa"/>
          </w:tcPr>
          <w:p>
            <w:pPr>
              <w:jc w:val="center"/>
              <w:rPr>
                <w:rFonts w:hint="eastAsia" w:ascii="仿宋_GB2312" w:hAnsi="仿宋_GB2312" w:eastAsia="仿宋_GB2312" w:cs="仿宋_GB2312"/>
                <w:szCs w:val="21"/>
              </w:rPr>
            </w:pPr>
          </w:p>
        </w:tc>
        <w:tc>
          <w:tcPr>
            <w:tcW w:w="1978" w:type="dxa"/>
          </w:tcPr>
          <w:p>
            <w:pPr>
              <w:jc w:val="center"/>
              <w:rPr>
                <w:rFonts w:hint="eastAsia" w:ascii="仿宋_GB2312" w:hAnsi="仿宋_GB2312" w:eastAsia="仿宋_GB2312" w:cs="仿宋_GB2312"/>
                <w:szCs w:val="21"/>
              </w:rPr>
            </w:pPr>
          </w:p>
        </w:tc>
        <w:tc>
          <w:tcPr>
            <w:tcW w:w="1575" w:type="dxa"/>
          </w:tcPr>
          <w:p>
            <w:pPr>
              <w:jc w:val="center"/>
              <w:rPr>
                <w:rFonts w:hint="eastAsia" w:ascii="仿宋_GB2312" w:hAnsi="仿宋_GB2312" w:eastAsia="仿宋_GB2312" w:cs="仿宋_GB2312"/>
                <w:szCs w:val="21"/>
              </w:rPr>
            </w:pPr>
          </w:p>
        </w:tc>
        <w:tc>
          <w:tcPr>
            <w:tcW w:w="1281" w:type="dxa"/>
          </w:tcPr>
          <w:p>
            <w:pPr>
              <w:jc w:val="center"/>
              <w:rPr>
                <w:rFonts w:hint="eastAsia" w:ascii="仿宋_GB2312" w:hAnsi="仿宋_GB2312" w:eastAsia="仿宋_GB2312" w:cs="仿宋_GB2312"/>
                <w:szCs w:val="21"/>
              </w:rPr>
            </w:pPr>
          </w:p>
        </w:tc>
        <w:tc>
          <w:tcPr>
            <w:tcW w:w="3496"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79" w:type="dxa"/>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1379" w:type="dxa"/>
          </w:tcPr>
          <w:p>
            <w:pPr>
              <w:jc w:val="center"/>
              <w:rPr>
                <w:rFonts w:hint="eastAsia" w:ascii="仿宋_GB2312" w:hAnsi="仿宋_GB2312" w:eastAsia="仿宋_GB2312" w:cs="仿宋_GB2312"/>
                <w:szCs w:val="21"/>
              </w:rPr>
            </w:pPr>
          </w:p>
        </w:tc>
        <w:tc>
          <w:tcPr>
            <w:tcW w:w="839" w:type="dxa"/>
          </w:tcPr>
          <w:p>
            <w:pPr>
              <w:jc w:val="center"/>
              <w:rPr>
                <w:rFonts w:hint="eastAsia" w:ascii="仿宋_GB2312" w:hAnsi="仿宋_GB2312" w:eastAsia="仿宋_GB2312" w:cs="仿宋_GB2312"/>
                <w:szCs w:val="21"/>
              </w:rPr>
            </w:pPr>
          </w:p>
        </w:tc>
        <w:tc>
          <w:tcPr>
            <w:tcW w:w="1544" w:type="dxa"/>
          </w:tcPr>
          <w:p>
            <w:pPr>
              <w:jc w:val="center"/>
              <w:rPr>
                <w:rFonts w:hint="eastAsia" w:ascii="仿宋_GB2312" w:hAnsi="仿宋_GB2312" w:eastAsia="仿宋_GB2312" w:cs="仿宋_GB2312"/>
                <w:szCs w:val="21"/>
              </w:rPr>
            </w:pPr>
          </w:p>
        </w:tc>
        <w:tc>
          <w:tcPr>
            <w:tcW w:w="1978" w:type="dxa"/>
          </w:tcPr>
          <w:p>
            <w:pPr>
              <w:jc w:val="center"/>
              <w:rPr>
                <w:rFonts w:hint="eastAsia" w:ascii="仿宋_GB2312" w:hAnsi="仿宋_GB2312" w:eastAsia="仿宋_GB2312" w:cs="仿宋_GB2312"/>
                <w:szCs w:val="21"/>
              </w:rPr>
            </w:pPr>
          </w:p>
        </w:tc>
        <w:tc>
          <w:tcPr>
            <w:tcW w:w="1575" w:type="dxa"/>
          </w:tcPr>
          <w:p>
            <w:pPr>
              <w:jc w:val="center"/>
              <w:rPr>
                <w:rFonts w:hint="eastAsia" w:ascii="仿宋_GB2312" w:hAnsi="仿宋_GB2312" w:eastAsia="仿宋_GB2312" w:cs="仿宋_GB2312"/>
                <w:szCs w:val="21"/>
              </w:rPr>
            </w:pPr>
          </w:p>
        </w:tc>
        <w:tc>
          <w:tcPr>
            <w:tcW w:w="1281" w:type="dxa"/>
          </w:tcPr>
          <w:p>
            <w:pPr>
              <w:jc w:val="center"/>
              <w:rPr>
                <w:rFonts w:hint="eastAsia" w:ascii="仿宋_GB2312" w:hAnsi="仿宋_GB2312" w:eastAsia="仿宋_GB2312" w:cs="仿宋_GB2312"/>
                <w:szCs w:val="21"/>
              </w:rPr>
            </w:pPr>
          </w:p>
        </w:tc>
        <w:tc>
          <w:tcPr>
            <w:tcW w:w="3496"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79" w:type="dxa"/>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1379" w:type="dxa"/>
          </w:tcPr>
          <w:p>
            <w:pPr>
              <w:jc w:val="center"/>
              <w:rPr>
                <w:rFonts w:hint="eastAsia" w:ascii="仿宋_GB2312" w:hAnsi="仿宋_GB2312" w:eastAsia="仿宋_GB2312" w:cs="仿宋_GB2312"/>
                <w:szCs w:val="21"/>
              </w:rPr>
            </w:pPr>
          </w:p>
        </w:tc>
        <w:tc>
          <w:tcPr>
            <w:tcW w:w="839" w:type="dxa"/>
          </w:tcPr>
          <w:p>
            <w:pPr>
              <w:jc w:val="center"/>
              <w:rPr>
                <w:rFonts w:hint="eastAsia" w:ascii="仿宋_GB2312" w:hAnsi="仿宋_GB2312" w:eastAsia="仿宋_GB2312" w:cs="仿宋_GB2312"/>
                <w:szCs w:val="21"/>
              </w:rPr>
            </w:pPr>
          </w:p>
        </w:tc>
        <w:tc>
          <w:tcPr>
            <w:tcW w:w="1544" w:type="dxa"/>
          </w:tcPr>
          <w:p>
            <w:pPr>
              <w:jc w:val="center"/>
              <w:rPr>
                <w:rFonts w:hint="eastAsia" w:ascii="仿宋_GB2312" w:hAnsi="仿宋_GB2312" w:eastAsia="仿宋_GB2312" w:cs="仿宋_GB2312"/>
                <w:szCs w:val="21"/>
              </w:rPr>
            </w:pPr>
          </w:p>
        </w:tc>
        <w:tc>
          <w:tcPr>
            <w:tcW w:w="1978" w:type="dxa"/>
          </w:tcPr>
          <w:p>
            <w:pPr>
              <w:jc w:val="center"/>
              <w:rPr>
                <w:rFonts w:hint="eastAsia" w:ascii="仿宋_GB2312" w:hAnsi="仿宋_GB2312" w:eastAsia="仿宋_GB2312" w:cs="仿宋_GB2312"/>
                <w:szCs w:val="21"/>
              </w:rPr>
            </w:pPr>
          </w:p>
        </w:tc>
        <w:tc>
          <w:tcPr>
            <w:tcW w:w="1575" w:type="dxa"/>
          </w:tcPr>
          <w:p>
            <w:pPr>
              <w:jc w:val="center"/>
              <w:rPr>
                <w:rFonts w:hint="eastAsia" w:ascii="仿宋_GB2312" w:hAnsi="仿宋_GB2312" w:eastAsia="仿宋_GB2312" w:cs="仿宋_GB2312"/>
                <w:szCs w:val="21"/>
              </w:rPr>
            </w:pPr>
          </w:p>
        </w:tc>
        <w:tc>
          <w:tcPr>
            <w:tcW w:w="1281" w:type="dxa"/>
          </w:tcPr>
          <w:p>
            <w:pPr>
              <w:jc w:val="center"/>
              <w:rPr>
                <w:rFonts w:hint="eastAsia" w:ascii="仿宋_GB2312" w:hAnsi="仿宋_GB2312" w:eastAsia="仿宋_GB2312" w:cs="仿宋_GB2312"/>
                <w:szCs w:val="21"/>
              </w:rPr>
            </w:pPr>
          </w:p>
        </w:tc>
        <w:tc>
          <w:tcPr>
            <w:tcW w:w="3496" w:type="dxa"/>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79" w:type="dxa"/>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1379" w:type="dxa"/>
          </w:tcPr>
          <w:p>
            <w:pPr>
              <w:jc w:val="center"/>
              <w:rPr>
                <w:rFonts w:hint="eastAsia" w:ascii="仿宋_GB2312" w:hAnsi="仿宋_GB2312" w:eastAsia="仿宋_GB2312" w:cs="仿宋_GB2312"/>
                <w:szCs w:val="21"/>
              </w:rPr>
            </w:pPr>
          </w:p>
        </w:tc>
        <w:tc>
          <w:tcPr>
            <w:tcW w:w="839" w:type="dxa"/>
          </w:tcPr>
          <w:p>
            <w:pPr>
              <w:jc w:val="center"/>
              <w:rPr>
                <w:rFonts w:hint="eastAsia" w:ascii="仿宋_GB2312" w:hAnsi="仿宋_GB2312" w:eastAsia="仿宋_GB2312" w:cs="仿宋_GB2312"/>
                <w:szCs w:val="21"/>
              </w:rPr>
            </w:pPr>
          </w:p>
        </w:tc>
        <w:tc>
          <w:tcPr>
            <w:tcW w:w="1544" w:type="dxa"/>
          </w:tcPr>
          <w:p>
            <w:pPr>
              <w:jc w:val="center"/>
              <w:rPr>
                <w:rFonts w:hint="eastAsia" w:ascii="仿宋_GB2312" w:hAnsi="仿宋_GB2312" w:eastAsia="仿宋_GB2312" w:cs="仿宋_GB2312"/>
                <w:szCs w:val="21"/>
              </w:rPr>
            </w:pPr>
          </w:p>
        </w:tc>
        <w:tc>
          <w:tcPr>
            <w:tcW w:w="1978" w:type="dxa"/>
          </w:tcPr>
          <w:p>
            <w:pPr>
              <w:jc w:val="center"/>
              <w:rPr>
                <w:rFonts w:hint="eastAsia" w:ascii="仿宋_GB2312" w:hAnsi="仿宋_GB2312" w:eastAsia="仿宋_GB2312" w:cs="仿宋_GB2312"/>
                <w:szCs w:val="21"/>
              </w:rPr>
            </w:pPr>
          </w:p>
        </w:tc>
        <w:tc>
          <w:tcPr>
            <w:tcW w:w="1575" w:type="dxa"/>
          </w:tcPr>
          <w:p>
            <w:pPr>
              <w:jc w:val="center"/>
              <w:rPr>
                <w:rFonts w:hint="eastAsia" w:ascii="仿宋_GB2312" w:hAnsi="仿宋_GB2312" w:eastAsia="仿宋_GB2312" w:cs="仿宋_GB2312"/>
                <w:szCs w:val="21"/>
              </w:rPr>
            </w:pPr>
          </w:p>
        </w:tc>
        <w:tc>
          <w:tcPr>
            <w:tcW w:w="1281" w:type="dxa"/>
          </w:tcPr>
          <w:p>
            <w:pPr>
              <w:jc w:val="center"/>
              <w:rPr>
                <w:rFonts w:hint="eastAsia" w:ascii="仿宋_GB2312" w:hAnsi="仿宋_GB2312" w:eastAsia="仿宋_GB2312" w:cs="仿宋_GB2312"/>
                <w:szCs w:val="21"/>
              </w:rPr>
            </w:pPr>
          </w:p>
        </w:tc>
        <w:tc>
          <w:tcPr>
            <w:tcW w:w="3496" w:type="dxa"/>
          </w:tcPr>
          <w:p>
            <w:pPr>
              <w:jc w:val="center"/>
              <w:rPr>
                <w:rFonts w:hint="eastAsia" w:ascii="仿宋_GB2312" w:hAnsi="仿宋_GB2312" w:eastAsia="仿宋_GB2312" w:cs="仿宋_GB2312"/>
                <w:szCs w:val="21"/>
              </w:rPr>
            </w:pPr>
          </w:p>
        </w:tc>
      </w:tr>
    </w:tbl>
    <w:p>
      <w:pPr>
        <w:spacing w:before="301" w:beforeLines="50" w:line="240" w:lineRule="exact"/>
        <w:rPr>
          <w:rFonts w:hint="eastAsia" w:ascii="仿宋_GB2312" w:hAnsi="仿宋" w:eastAsia="仿宋_GB2312" w:cs="仿宋"/>
          <w:bCs/>
          <w:spacing w:val="8"/>
          <w:kern w:val="0"/>
          <w:szCs w:val="21"/>
        </w:rPr>
      </w:pPr>
      <w:r>
        <w:rPr>
          <w:rFonts w:hint="eastAsia" w:ascii="仿宋_GB2312" w:hAnsi="仿宋" w:eastAsia="仿宋_GB2312" w:cs="仿宋"/>
          <w:bCs/>
          <w:spacing w:val="8"/>
          <w:kern w:val="0"/>
          <w:szCs w:val="21"/>
        </w:rPr>
        <w:t>填报单位：</w:t>
      </w:r>
      <w:r>
        <w:rPr>
          <w:rFonts w:hint="eastAsia" w:ascii="仿宋_GB2312" w:hAnsi="仿宋" w:eastAsia="仿宋_GB2312" w:cs="仿宋"/>
          <w:bCs/>
          <w:spacing w:val="8"/>
          <w:kern w:val="0"/>
          <w:szCs w:val="21"/>
          <w:u w:val="single"/>
        </w:rPr>
        <w:t xml:space="preserve">      </w:t>
      </w:r>
      <w:r>
        <w:rPr>
          <w:rFonts w:hint="eastAsia" w:ascii="仿宋_GB2312" w:hAnsi="仿宋" w:eastAsia="仿宋_GB2312" w:cs="仿宋"/>
          <w:bCs/>
          <w:spacing w:val="8"/>
          <w:kern w:val="0"/>
          <w:szCs w:val="21"/>
        </w:rPr>
        <w:t>市财政局（盖章）                         填表人：                       联系电话：</w:t>
      </w:r>
    </w:p>
    <w:p>
      <w:pPr>
        <w:spacing w:line="320" w:lineRule="exact"/>
        <w:rPr>
          <w:rFonts w:hint="eastAsia" w:ascii="仿宋_GB2312" w:hAnsi="仿宋" w:eastAsia="仿宋_GB2312" w:cs="仿宋"/>
          <w:bCs/>
          <w:spacing w:val="8"/>
          <w:kern w:val="0"/>
          <w:szCs w:val="21"/>
        </w:rPr>
      </w:pPr>
      <w:r>
        <w:rPr>
          <w:rFonts w:hint="eastAsia" w:ascii="仿宋_GB2312" w:hAnsi="仿宋" w:eastAsia="仿宋_GB2312" w:cs="仿宋"/>
          <w:bCs/>
          <w:spacing w:val="8"/>
          <w:kern w:val="0"/>
          <w:szCs w:val="21"/>
        </w:rPr>
        <w:t>注：1.“级次”包括：设区市、县（市、区）、乡镇；</w:t>
      </w:r>
    </w:p>
    <w:p>
      <w:pPr>
        <w:spacing w:line="320" w:lineRule="exact"/>
        <w:rPr>
          <w:rFonts w:hint="eastAsia" w:ascii="仿宋_GB2312" w:hAnsi="仿宋" w:eastAsia="仿宋_GB2312" w:cs="仿宋"/>
          <w:bCs/>
          <w:spacing w:val="8"/>
          <w:kern w:val="0"/>
          <w:szCs w:val="21"/>
        </w:rPr>
        <w:sectPr>
          <w:pgSz w:w="16838" w:h="11906" w:orient="landscape"/>
          <w:pgMar w:top="1587" w:right="2098" w:bottom="1474" w:left="1985" w:header="851" w:footer="1587" w:gutter="0"/>
          <w:cols w:space="720" w:num="1"/>
          <w:docGrid w:type="linesAndChars" w:linePitch="602" w:charSpace="-1675"/>
        </w:sectPr>
      </w:pPr>
      <w:r>
        <w:rPr>
          <w:rFonts w:hint="eastAsia" w:ascii="仿宋_GB2312" w:hAnsi="仿宋" w:eastAsia="仿宋_GB2312" w:cs="仿宋"/>
          <w:bCs/>
          <w:spacing w:val="8"/>
          <w:kern w:val="0"/>
          <w:szCs w:val="21"/>
        </w:rPr>
        <w:t xml:space="preserve">    2.财政专户资金竞争性存放情况由各级财政部门另行填报，不在本表报送范围。</w:t>
      </w:r>
    </w:p>
    <w:p>
      <w:pPr>
        <w:snapToGrid w:val="0"/>
        <w:spacing w:line="480" w:lineRule="exact"/>
        <w:rPr>
          <w:rFonts w:hint="eastAsia" w:ascii="仿宋_GB2312" w:eastAsia="仿宋_GB2312"/>
          <w:sz w:val="32"/>
        </w:rPr>
      </w:pPr>
    </w:p>
    <w:sectPr>
      <w:headerReference r:id="rId5" w:type="default"/>
      <w:footerReference r:id="rId6" w:type="default"/>
      <w:pgSz w:w="11906" w:h="16838"/>
      <w:pgMar w:top="2098" w:right="1474" w:bottom="1985" w:left="1588" w:header="851" w:footer="1588" w:gutter="0"/>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w:pict>
        <v:shape id="_x0000_s2051" o:spid="_x0000_s205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ind w:firstLine="280" w:firstLineChars="100"/>
                  <w:rPr>
                    <w:sz w:val="28"/>
                  </w:rPr>
                </w:pPr>
                <w:r>
                  <w:rPr>
                    <w:rFonts w:hint="eastAsia"/>
                    <w:sz w:val="28"/>
                  </w:rPr>
                  <w:t xml:space="preserve">— </w:t>
                </w:r>
                <w:r>
                  <w:rPr>
                    <w:sz w:val="28"/>
                  </w:rPr>
                  <w:fldChar w:fldCharType="begin"/>
                </w:r>
                <w:r>
                  <w:rPr>
                    <w:sz w:val="28"/>
                  </w:rPr>
                  <w:instrText xml:space="preserve"> PAGE </w:instrText>
                </w:r>
                <w:r>
                  <w:rPr>
                    <w:sz w:val="28"/>
                  </w:rPr>
                  <w:fldChar w:fldCharType="separate"/>
                </w:r>
                <w:r>
                  <w:rPr>
                    <w:sz w:val="28"/>
                  </w:rPr>
                  <w:t>5</w:t>
                </w:r>
                <w:r>
                  <w:rPr>
                    <w:sz w:val="28"/>
                  </w:rPr>
                  <w:fldChar w:fldCharType="end"/>
                </w:r>
                <w:r>
                  <w:rPr>
                    <w:rFonts w:hint="eastAsia"/>
                    <w:sz w:val="28"/>
                  </w:rPr>
                  <w:t xml:space="preserve"> —</w:t>
                </w: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ind w:firstLine="280" w:firstLineChars="100"/>
                  <w:rPr>
                    <w:sz w:val="28"/>
                  </w:rPr>
                </w:pPr>
                <w:r>
                  <w:rPr>
                    <w:rFonts w:hint="eastAsia"/>
                    <w:sz w:val="28"/>
                  </w:rPr>
                  <w:t xml:space="preserve">— </w:t>
                </w:r>
                <w:r>
                  <w:rPr>
                    <w:sz w:val="28"/>
                  </w:rPr>
                  <w:fldChar w:fldCharType="begin"/>
                </w:r>
                <w:r>
                  <w:rPr>
                    <w:sz w:val="28"/>
                  </w:rPr>
                  <w:instrText xml:space="preserve"> PAGE </w:instrText>
                </w:r>
                <w:r>
                  <w:rPr>
                    <w:sz w:val="28"/>
                  </w:rPr>
                  <w:fldChar w:fldCharType="separate"/>
                </w:r>
                <w:r>
                  <w:rPr>
                    <w:sz w:val="28"/>
                  </w:rPr>
                  <w:t>15</w:t>
                </w:r>
                <w:r>
                  <w:rPr>
                    <w:sz w:val="28"/>
                  </w:rPr>
                  <w:fldChar w:fldCharType="end"/>
                </w:r>
                <w:r>
                  <w:rPr>
                    <w:rFonts w:hint="eastAsia"/>
                    <w:sz w:val="28"/>
                  </w:rPr>
                  <w:t xml:space="preserve"> —</w:t>
                </w:r>
              </w:p>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F2A1F1"/>
    <w:multiLevelType w:val="singleLevel"/>
    <w:tmpl w:val="55F2A1F1"/>
    <w:lvl w:ilvl="0" w:tentative="0">
      <w:start w:val="1"/>
      <w:numFmt w:val="chineseCounting"/>
      <w:suff w:val="nothing"/>
      <w:lvlText w:val="%1、"/>
      <w:lvlJc w:val="left"/>
    </w:lvl>
  </w:abstractNum>
  <w:abstractNum w:abstractNumId="1">
    <w:nsid w:val="55F2A4D5"/>
    <w:multiLevelType w:val="singleLevel"/>
    <w:tmpl w:val="55F2A4D5"/>
    <w:lvl w:ilvl="0" w:tentative="0">
      <w:start w:val="1"/>
      <w:numFmt w:val="chineseCounting"/>
      <w:suff w:val="nothing"/>
      <w:lvlText w:val="%1、"/>
      <w:lvlJc w:val="left"/>
    </w:lvl>
  </w:abstractNum>
  <w:abstractNum w:abstractNumId="2">
    <w:nsid w:val="55F2A4E3"/>
    <w:multiLevelType w:val="singleLevel"/>
    <w:tmpl w:val="55F2A4E3"/>
    <w:lvl w:ilvl="0" w:tentative="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xOTk5NjA2MDRiYmZlNWMwMjI3ZTYxYjcxM2RlNzYifQ=="/>
  </w:docVars>
  <w:rsids>
    <w:rsidRoot w:val="00172A27"/>
    <w:rsid w:val="000057E4"/>
    <w:rsid w:val="00007375"/>
    <w:rsid w:val="0001120C"/>
    <w:rsid w:val="0001233B"/>
    <w:rsid w:val="00020EDA"/>
    <w:rsid w:val="00023AD4"/>
    <w:rsid w:val="00025869"/>
    <w:rsid w:val="00040885"/>
    <w:rsid w:val="00052B3C"/>
    <w:rsid w:val="000602D7"/>
    <w:rsid w:val="00082FFD"/>
    <w:rsid w:val="00084F63"/>
    <w:rsid w:val="00086C0E"/>
    <w:rsid w:val="00092411"/>
    <w:rsid w:val="000C71C9"/>
    <w:rsid w:val="000D0FC0"/>
    <w:rsid w:val="000E3BE5"/>
    <w:rsid w:val="000E6A90"/>
    <w:rsid w:val="000F6CBF"/>
    <w:rsid w:val="0010102F"/>
    <w:rsid w:val="00106913"/>
    <w:rsid w:val="00135282"/>
    <w:rsid w:val="001416E8"/>
    <w:rsid w:val="00153E6D"/>
    <w:rsid w:val="00163618"/>
    <w:rsid w:val="00172A27"/>
    <w:rsid w:val="00173610"/>
    <w:rsid w:val="00184032"/>
    <w:rsid w:val="001C1C75"/>
    <w:rsid w:val="001D7CB4"/>
    <w:rsid w:val="001F5DFA"/>
    <w:rsid w:val="001F6E13"/>
    <w:rsid w:val="001F7605"/>
    <w:rsid w:val="002043FB"/>
    <w:rsid w:val="002047B8"/>
    <w:rsid w:val="00221441"/>
    <w:rsid w:val="002444AE"/>
    <w:rsid w:val="00246DC7"/>
    <w:rsid w:val="0025085F"/>
    <w:rsid w:val="0026794F"/>
    <w:rsid w:val="00273A0A"/>
    <w:rsid w:val="00276800"/>
    <w:rsid w:val="002776AA"/>
    <w:rsid w:val="0028264D"/>
    <w:rsid w:val="0028351B"/>
    <w:rsid w:val="002851CC"/>
    <w:rsid w:val="002A1FFC"/>
    <w:rsid w:val="002A7037"/>
    <w:rsid w:val="002B2612"/>
    <w:rsid w:val="002B4CE3"/>
    <w:rsid w:val="002C38D7"/>
    <w:rsid w:val="003035C1"/>
    <w:rsid w:val="0033740F"/>
    <w:rsid w:val="00345429"/>
    <w:rsid w:val="00347373"/>
    <w:rsid w:val="0035273E"/>
    <w:rsid w:val="00355F08"/>
    <w:rsid w:val="003606F7"/>
    <w:rsid w:val="00373247"/>
    <w:rsid w:val="00373295"/>
    <w:rsid w:val="0037706E"/>
    <w:rsid w:val="00382B81"/>
    <w:rsid w:val="0038730C"/>
    <w:rsid w:val="0038775E"/>
    <w:rsid w:val="003952B6"/>
    <w:rsid w:val="003A2439"/>
    <w:rsid w:val="003C0A1C"/>
    <w:rsid w:val="003C3917"/>
    <w:rsid w:val="003C6818"/>
    <w:rsid w:val="003C69E4"/>
    <w:rsid w:val="00400235"/>
    <w:rsid w:val="0041526B"/>
    <w:rsid w:val="004224D8"/>
    <w:rsid w:val="00424BF3"/>
    <w:rsid w:val="00431544"/>
    <w:rsid w:val="00432701"/>
    <w:rsid w:val="00435F85"/>
    <w:rsid w:val="00443EED"/>
    <w:rsid w:val="004612CA"/>
    <w:rsid w:val="0047424C"/>
    <w:rsid w:val="00492D5B"/>
    <w:rsid w:val="004A407D"/>
    <w:rsid w:val="004B6312"/>
    <w:rsid w:val="004C6417"/>
    <w:rsid w:val="004E3CF5"/>
    <w:rsid w:val="004F0003"/>
    <w:rsid w:val="004F19C4"/>
    <w:rsid w:val="00513479"/>
    <w:rsid w:val="00514879"/>
    <w:rsid w:val="005246B0"/>
    <w:rsid w:val="005364AF"/>
    <w:rsid w:val="00541C58"/>
    <w:rsid w:val="00541FC6"/>
    <w:rsid w:val="00542A98"/>
    <w:rsid w:val="005502AB"/>
    <w:rsid w:val="005505A5"/>
    <w:rsid w:val="0055080B"/>
    <w:rsid w:val="00564599"/>
    <w:rsid w:val="00566428"/>
    <w:rsid w:val="00567F7C"/>
    <w:rsid w:val="005718A2"/>
    <w:rsid w:val="0059218F"/>
    <w:rsid w:val="0059302E"/>
    <w:rsid w:val="005A02C9"/>
    <w:rsid w:val="005A6B89"/>
    <w:rsid w:val="005A6FB3"/>
    <w:rsid w:val="005C0217"/>
    <w:rsid w:val="005C24F4"/>
    <w:rsid w:val="005E4371"/>
    <w:rsid w:val="005E5A7B"/>
    <w:rsid w:val="005F7BDA"/>
    <w:rsid w:val="006135E6"/>
    <w:rsid w:val="00620300"/>
    <w:rsid w:val="00621DE6"/>
    <w:rsid w:val="00645062"/>
    <w:rsid w:val="00651E16"/>
    <w:rsid w:val="00661C11"/>
    <w:rsid w:val="00672359"/>
    <w:rsid w:val="00680C8C"/>
    <w:rsid w:val="006830E9"/>
    <w:rsid w:val="00685448"/>
    <w:rsid w:val="006C49EE"/>
    <w:rsid w:val="006C788D"/>
    <w:rsid w:val="006D0205"/>
    <w:rsid w:val="006D1FB4"/>
    <w:rsid w:val="006D20BF"/>
    <w:rsid w:val="006D5A0D"/>
    <w:rsid w:val="006F49F8"/>
    <w:rsid w:val="006F4FCE"/>
    <w:rsid w:val="00703210"/>
    <w:rsid w:val="0071441B"/>
    <w:rsid w:val="007178AE"/>
    <w:rsid w:val="00721F8F"/>
    <w:rsid w:val="0073732A"/>
    <w:rsid w:val="00755501"/>
    <w:rsid w:val="00756A79"/>
    <w:rsid w:val="00756ECC"/>
    <w:rsid w:val="00763A77"/>
    <w:rsid w:val="00764715"/>
    <w:rsid w:val="00770467"/>
    <w:rsid w:val="007905E5"/>
    <w:rsid w:val="00791D17"/>
    <w:rsid w:val="007925CC"/>
    <w:rsid w:val="007936D9"/>
    <w:rsid w:val="00793BE4"/>
    <w:rsid w:val="00795164"/>
    <w:rsid w:val="007A3FB8"/>
    <w:rsid w:val="007B1723"/>
    <w:rsid w:val="007E3B17"/>
    <w:rsid w:val="00802BA4"/>
    <w:rsid w:val="00830520"/>
    <w:rsid w:val="008332E6"/>
    <w:rsid w:val="008406DB"/>
    <w:rsid w:val="00846965"/>
    <w:rsid w:val="008804F3"/>
    <w:rsid w:val="0088347B"/>
    <w:rsid w:val="00887471"/>
    <w:rsid w:val="0089005E"/>
    <w:rsid w:val="00892CD1"/>
    <w:rsid w:val="00893AC5"/>
    <w:rsid w:val="008955EB"/>
    <w:rsid w:val="008A0D0D"/>
    <w:rsid w:val="008A418E"/>
    <w:rsid w:val="008B46DD"/>
    <w:rsid w:val="008B5B90"/>
    <w:rsid w:val="008C736D"/>
    <w:rsid w:val="008D4D4A"/>
    <w:rsid w:val="008D69D0"/>
    <w:rsid w:val="008E07B1"/>
    <w:rsid w:val="008E2742"/>
    <w:rsid w:val="008E469F"/>
    <w:rsid w:val="008F4BB7"/>
    <w:rsid w:val="00907A3E"/>
    <w:rsid w:val="00911BDC"/>
    <w:rsid w:val="00915BFF"/>
    <w:rsid w:val="009213DC"/>
    <w:rsid w:val="0092358F"/>
    <w:rsid w:val="00924036"/>
    <w:rsid w:val="009361F4"/>
    <w:rsid w:val="009438BD"/>
    <w:rsid w:val="00956DE3"/>
    <w:rsid w:val="00973979"/>
    <w:rsid w:val="00987183"/>
    <w:rsid w:val="00992C63"/>
    <w:rsid w:val="00993F05"/>
    <w:rsid w:val="00995B1F"/>
    <w:rsid w:val="009A6D0D"/>
    <w:rsid w:val="009B3FBF"/>
    <w:rsid w:val="009B4C5F"/>
    <w:rsid w:val="009C7B82"/>
    <w:rsid w:val="009D78FF"/>
    <w:rsid w:val="009F1089"/>
    <w:rsid w:val="009F6062"/>
    <w:rsid w:val="00A16A9B"/>
    <w:rsid w:val="00A20C94"/>
    <w:rsid w:val="00A21D3D"/>
    <w:rsid w:val="00A26ACE"/>
    <w:rsid w:val="00A304CD"/>
    <w:rsid w:val="00A37C1F"/>
    <w:rsid w:val="00A40D51"/>
    <w:rsid w:val="00A42141"/>
    <w:rsid w:val="00A437C3"/>
    <w:rsid w:val="00A60A0B"/>
    <w:rsid w:val="00A826C0"/>
    <w:rsid w:val="00AB3E29"/>
    <w:rsid w:val="00AC3578"/>
    <w:rsid w:val="00AC5B25"/>
    <w:rsid w:val="00AD3D89"/>
    <w:rsid w:val="00AF7E6A"/>
    <w:rsid w:val="00B10AE9"/>
    <w:rsid w:val="00B11F9A"/>
    <w:rsid w:val="00B157AC"/>
    <w:rsid w:val="00B4433A"/>
    <w:rsid w:val="00B53956"/>
    <w:rsid w:val="00B66E55"/>
    <w:rsid w:val="00BB1171"/>
    <w:rsid w:val="00BB361D"/>
    <w:rsid w:val="00BC336B"/>
    <w:rsid w:val="00BD3BBD"/>
    <w:rsid w:val="00BE7FFE"/>
    <w:rsid w:val="00BF581F"/>
    <w:rsid w:val="00BF5835"/>
    <w:rsid w:val="00C002AF"/>
    <w:rsid w:val="00C074BB"/>
    <w:rsid w:val="00C25706"/>
    <w:rsid w:val="00C33A1D"/>
    <w:rsid w:val="00C5153C"/>
    <w:rsid w:val="00C556F2"/>
    <w:rsid w:val="00C65425"/>
    <w:rsid w:val="00C80B29"/>
    <w:rsid w:val="00C921D6"/>
    <w:rsid w:val="00CB00D3"/>
    <w:rsid w:val="00CD43A4"/>
    <w:rsid w:val="00CD638D"/>
    <w:rsid w:val="00CD7269"/>
    <w:rsid w:val="00CE793C"/>
    <w:rsid w:val="00CF1578"/>
    <w:rsid w:val="00CF23CC"/>
    <w:rsid w:val="00D0279B"/>
    <w:rsid w:val="00D02DCE"/>
    <w:rsid w:val="00D102E9"/>
    <w:rsid w:val="00D20D8F"/>
    <w:rsid w:val="00D24A1C"/>
    <w:rsid w:val="00D27FE2"/>
    <w:rsid w:val="00D311F6"/>
    <w:rsid w:val="00D474F8"/>
    <w:rsid w:val="00D50FA2"/>
    <w:rsid w:val="00D849F6"/>
    <w:rsid w:val="00DA1E5D"/>
    <w:rsid w:val="00DB4B05"/>
    <w:rsid w:val="00DE2757"/>
    <w:rsid w:val="00DE6A2F"/>
    <w:rsid w:val="00DF131F"/>
    <w:rsid w:val="00DF3F5B"/>
    <w:rsid w:val="00DF49C7"/>
    <w:rsid w:val="00E0004B"/>
    <w:rsid w:val="00E10AF2"/>
    <w:rsid w:val="00E11B4E"/>
    <w:rsid w:val="00E21C49"/>
    <w:rsid w:val="00E36473"/>
    <w:rsid w:val="00E45C8C"/>
    <w:rsid w:val="00E5738A"/>
    <w:rsid w:val="00E6250E"/>
    <w:rsid w:val="00E641E7"/>
    <w:rsid w:val="00E66293"/>
    <w:rsid w:val="00E67855"/>
    <w:rsid w:val="00E812A4"/>
    <w:rsid w:val="00E84E8F"/>
    <w:rsid w:val="00E903D8"/>
    <w:rsid w:val="00EA6A4F"/>
    <w:rsid w:val="00EB103F"/>
    <w:rsid w:val="00ED0ED8"/>
    <w:rsid w:val="00ED514E"/>
    <w:rsid w:val="00F10260"/>
    <w:rsid w:val="00F11126"/>
    <w:rsid w:val="00F25C1C"/>
    <w:rsid w:val="00F31EE9"/>
    <w:rsid w:val="00F413C5"/>
    <w:rsid w:val="00F45378"/>
    <w:rsid w:val="00F54967"/>
    <w:rsid w:val="00F60BBE"/>
    <w:rsid w:val="00F67D33"/>
    <w:rsid w:val="00F80E45"/>
    <w:rsid w:val="00F86E56"/>
    <w:rsid w:val="00FA1B0E"/>
    <w:rsid w:val="00FB7313"/>
    <w:rsid w:val="00FC4503"/>
    <w:rsid w:val="00FE4081"/>
    <w:rsid w:val="00FE581F"/>
    <w:rsid w:val="00FF7CDB"/>
    <w:rsid w:val="45A96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page number"/>
    <w:basedOn w:val="6"/>
    <w:unhideWhenUsed/>
    <w:uiPriority w:val="99"/>
  </w:style>
  <w:style w:type="paragraph" w:customStyle="1" w:styleId="9">
    <w:name w:val="列出段落1"/>
    <w:basedOn w:val="1"/>
    <w:qFormat/>
    <w:uiPriority w:val="34"/>
    <w:pPr>
      <w:ind w:firstLine="420" w:firstLineChars="200"/>
    </w:pPr>
  </w:style>
  <w:style w:type="character" w:customStyle="1" w:styleId="10">
    <w:name w:val="批注框文本 Char"/>
    <w:basedOn w:val="6"/>
    <w:link w:val="2"/>
    <w:semiHidden/>
    <w:uiPriority w:val="99"/>
    <w:rPr>
      <w:kern w:val="2"/>
      <w:sz w:val="18"/>
      <w:szCs w:val="18"/>
    </w:rPr>
  </w:style>
  <w:style w:type="paragraph" w:customStyle="1" w:styleId="11">
    <w:name w:val="Revision"/>
    <w:hidden/>
    <w:semiHidden/>
    <w:uiPriority w:val="99"/>
    <w:rPr>
      <w:rFonts w:ascii="Times New Roman" w:hAnsi="Times New Roman" w:eastAsia="宋体" w:cs="Times New Roman"/>
      <w:kern w:val="2"/>
      <w:sz w:val="21"/>
      <w:lang w:val="en-US" w:eastAsia="zh-CN" w:bidi="ar-SA"/>
    </w:rPr>
  </w:style>
  <w:style w:type="paragraph" w:styleId="12">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80B5F-C4FC-4851-816E-9D195BD9B9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4149</Words>
  <Characters>4272</Characters>
  <Lines>36</Lines>
  <Paragraphs>10</Paragraphs>
  <TotalTime>47</TotalTime>
  <ScaleCrop>false</ScaleCrop>
  <LinksUpToDate>false</LinksUpToDate>
  <CharactersWithSpaces>4770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2018-09-27T01:23:00Z</dcterms:created>
  <dc:creator>LENOVO</dc:creator>
  <cp:lastModifiedBy>usxik</cp:lastModifiedBy>
  <cp:lastPrinted>2018-10-10T06:56:00Z</cp:lastPrinted>
  <dcterms:modified xsi:type="dcterms:W3CDTF">2022-08-11T03:50:22Z</dcterms:modified>
  <dc:title>附件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CF2CE31B138846C39CE7BE47A0334609</vt:lpwstr>
  </property>
</Properties>
</file>