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bCs/>
          <w:sz w:val="44"/>
          <w:szCs w:val="44"/>
        </w:rPr>
      </w:pPr>
      <w:r>
        <w:rPr>
          <w:rFonts w:hint="eastAsia" w:ascii="方正小标宋简体" w:eastAsia="方正小标宋简体"/>
          <w:b/>
          <w:bCs/>
          <w:sz w:val="44"/>
          <w:szCs w:val="44"/>
        </w:rPr>
        <w:t>杭州市政府采购代理机构信用评价</w:t>
      </w:r>
    </w:p>
    <w:p>
      <w:pPr>
        <w:jc w:val="center"/>
        <w:rPr>
          <w:rFonts w:ascii="方正小标宋简体" w:eastAsia="方正小标宋简体"/>
          <w:b/>
          <w:bCs/>
          <w:sz w:val="44"/>
          <w:szCs w:val="44"/>
        </w:rPr>
      </w:pPr>
      <w:r>
        <w:rPr>
          <w:rFonts w:hint="eastAsia" w:ascii="方正小标宋简体" w:eastAsia="方正小标宋简体"/>
          <w:b/>
          <w:bCs/>
          <w:sz w:val="44"/>
          <w:szCs w:val="44"/>
        </w:rPr>
        <w:t>暂行办法（征求意见稿）</w:t>
      </w:r>
    </w:p>
    <w:p>
      <w:pPr>
        <w:jc w:val="center"/>
        <w:rPr>
          <w:rFonts w:ascii="方正小标宋简体" w:eastAsia="方正小标宋简体"/>
          <w:b/>
          <w:bCs/>
          <w:sz w:val="28"/>
          <w:szCs w:val="28"/>
        </w:rPr>
      </w:pPr>
    </w:p>
    <w:p>
      <w:pPr>
        <w:ind w:firstLine="640" w:firstLineChars="200"/>
        <w:rPr>
          <w:rFonts w:ascii="仿宋_GB2312" w:eastAsia="仿宋_GB2312"/>
          <w:sz w:val="32"/>
          <w:szCs w:val="32"/>
        </w:rPr>
      </w:pPr>
      <w:r>
        <w:rPr>
          <w:rFonts w:hint="eastAsia" w:ascii="仿宋_GB2312" w:eastAsia="仿宋_GB2312"/>
          <w:sz w:val="32"/>
          <w:szCs w:val="32"/>
        </w:rPr>
        <w:t>为推进政府采购代理机构诚信体系建设，促进政府采购代理机构健康发展，保护政府采购当事人的合法权益，构建政府采购领域公平竞争、规范执业、诚实守信的营商环境，根据《中华人民共和国</w:t>
      </w:r>
      <w:r>
        <w:rPr>
          <w:rFonts w:hint="default" w:ascii="仿宋_GB2312" w:eastAsia="仿宋_GB2312"/>
          <w:sz w:val="32"/>
          <w:szCs w:val="32"/>
        </w:rPr>
        <w:t>政府</w:t>
      </w:r>
      <w:r>
        <w:rPr>
          <w:rFonts w:hint="eastAsia" w:ascii="仿宋_GB2312" w:eastAsia="仿宋_GB2312"/>
          <w:sz w:val="32"/>
          <w:szCs w:val="32"/>
        </w:rPr>
        <w:t>采购法》、《</w:t>
      </w:r>
      <w:bookmarkStart w:id="0" w:name="_GoBack"/>
      <w:bookmarkEnd w:id="0"/>
      <w:r>
        <w:rPr>
          <w:rFonts w:hint="eastAsia" w:ascii="仿宋_GB2312" w:eastAsia="仿宋_GB2312"/>
          <w:sz w:val="32"/>
          <w:szCs w:val="32"/>
        </w:rPr>
        <w:t>中华人民共和国采购法实施条例》、《政府采购代理机构管理暂行办法》（财库〔2018〕2号）等法律法规，制定本办法。</w:t>
      </w:r>
    </w:p>
    <w:p>
      <w:pPr>
        <w:spacing w:beforeLines="50" w:afterLines="50"/>
        <w:jc w:val="center"/>
        <w:rPr>
          <w:rFonts w:ascii="黑体" w:hAnsi="黑体" w:eastAsia="黑体"/>
          <w:b/>
          <w:sz w:val="32"/>
          <w:szCs w:val="32"/>
        </w:rPr>
      </w:pPr>
      <w:r>
        <w:rPr>
          <w:rFonts w:hint="eastAsia" w:ascii="仿宋_GB2312" w:eastAsia="仿宋_GB2312"/>
          <w:b/>
          <w:sz w:val="32"/>
          <w:szCs w:val="32"/>
        </w:rPr>
        <w:t>　</w:t>
      </w:r>
      <w:r>
        <w:rPr>
          <w:rFonts w:hint="eastAsia" w:ascii="黑体" w:hAnsi="黑体" w:eastAsia="黑体"/>
          <w:b/>
          <w:sz w:val="32"/>
          <w:szCs w:val="32"/>
        </w:rPr>
        <w:t>第一章　</w:t>
      </w:r>
      <w:r>
        <w:rPr>
          <w:rFonts w:ascii="黑体" w:hAnsi="黑体" w:eastAsia="黑体"/>
          <w:b/>
          <w:sz w:val="32"/>
          <w:szCs w:val="32"/>
        </w:rPr>
        <w:t>评价主体和</w:t>
      </w:r>
      <w:r>
        <w:rPr>
          <w:rFonts w:hint="eastAsia" w:ascii="黑体" w:hAnsi="黑体" w:eastAsia="黑体"/>
          <w:b/>
          <w:sz w:val="32"/>
          <w:szCs w:val="32"/>
        </w:rPr>
        <w:t>评价对象</w:t>
      </w:r>
    </w:p>
    <w:p>
      <w:pPr>
        <w:ind w:firstLine="643" w:firstLineChars="20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政府采购</w:t>
      </w:r>
      <w:r>
        <w:rPr>
          <w:rFonts w:ascii="仿宋_GB2312" w:eastAsia="仿宋_GB2312"/>
          <w:sz w:val="32"/>
          <w:szCs w:val="32"/>
        </w:rPr>
        <w:t>代理机构信用评价由政府采购监管部门、采购人、供应商和评审专家</w:t>
      </w:r>
      <w:r>
        <w:rPr>
          <w:rFonts w:hint="eastAsia" w:ascii="仿宋_GB2312" w:eastAsia="仿宋_GB2312"/>
          <w:sz w:val="32"/>
          <w:szCs w:val="32"/>
        </w:rPr>
        <w:t>进行</w:t>
      </w:r>
      <w:r>
        <w:rPr>
          <w:rFonts w:ascii="仿宋_GB2312" w:eastAsia="仿宋_GB2312"/>
          <w:sz w:val="32"/>
          <w:szCs w:val="32"/>
        </w:rPr>
        <w:t>综合评价，</w:t>
      </w:r>
      <w:r>
        <w:rPr>
          <w:rFonts w:hint="eastAsia" w:ascii="仿宋_GB2312" w:eastAsia="仿宋_GB2312"/>
          <w:sz w:val="32"/>
          <w:szCs w:val="32"/>
        </w:rPr>
        <w:t>并</w:t>
      </w:r>
      <w:r>
        <w:rPr>
          <w:rFonts w:ascii="仿宋_GB2312" w:eastAsia="仿宋_GB2312"/>
          <w:sz w:val="32"/>
          <w:szCs w:val="32"/>
        </w:rPr>
        <w:t>建立诚信档案。</w:t>
      </w:r>
    </w:p>
    <w:p>
      <w:pPr>
        <w:ind w:firstLine="643" w:firstLineChars="200"/>
      </w:pPr>
      <w:r>
        <w:rPr>
          <w:rFonts w:ascii="仿宋_GB2312" w:eastAsia="仿宋_GB2312"/>
          <w:b/>
          <w:sz w:val="32"/>
          <w:szCs w:val="32"/>
        </w:rPr>
        <w:t>第二条</w:t>
      </w:r>
      <w:r>
        <w:rPr>
          <w:rFonts w:ascii="仿宋_GB2312" w:eastAsia="仿宋_GB2312"/>
          <w:sz w:val="32"/>
          <w:szCs w:val="32"/>
        </w:rPr>
        <w:t>　</w:t>
      </w:r>
      <w:r>
        <w:rPr>
          <w:rFonts w:hint="eastAsia" w:ascii="仿宋_GB2312" w:eastAsia="仿宋_GB2312"/>
          <w:sz w:val="32"/>
          <w:szCs w:val="32"/>
        </w:rPr>
        <w:t>凡代理过杭州市政府采购业务的代理机构，均纳入信用评价对象。</w:t>
      </w:r>
    </w:p>
    <w:p>
      <w:pPr>
        <w:spacing w:beforeLines="50" w:afterLines="50"/>
        <w:jc w:val="center"/>
        <w:rPr>
          <w:rFonts w:ascii="黑体" w:hAnsi="黑体" w:eastAsia="黑体"/>
          <w:b/>
          <w:sz w:val="32"/>
          <w:szCs w:val="32"/>
        </w:rPr>
      </w:pPr>
      <w:r>
        <w:rPr>
          <w:rFonts w:hint="eastAsia" w:ascii="黑体" w:hAnsi="黑体" w:eastAsia="黑体"/>
          <w:b/>
          <w:sz w:val="32"/>
          <w:szCs w:val="32"/>
        </w:rPr>
        <w:t>第二章　评价内容及方式</w:t>
      </w:r>
    </w:p>
    <w:p>
      <w:pPr>
        <w:ind w:firstLine="643" w:firstLineChars="200"/>
        <w:rPr>
          <w:rFonts w:ascii="仿宋_GB2312" w:eastAsia="仿宋_GB2312"/>
          <w:sz w:val="32"/>
          <w:szCs w:val="32"/>
        </w:rPr>
      </w:pPr>
      <w:r>
        <w:rPr>
          <w:rFonts w:hint="eastAsia" w:ascii="仿宋_GB2312" w:eastAsia="仿宋_GB2312"/>
          <w:b/>
          <w:sz w:val="32"/>
          <w:szCs w:val="32"/>
        </w:rPr>
        <w:t>第三条　</w:t>
      </w:r>
      <w:r>
        <w:rPr>
          <w:rFonts w:hint="eastAsia" w:ascii="仿宋_GB2312" w:eastAsia="仿宋_GB2312"/>
          <w:sz w:val="32"/>
          <w:szCs w:val="32"/>
        </w:rPr>
        <w:t>政府采购监管部门对代理机构的评价主要包括注册登记、从业条件、制度建设、业务办理、采购政策落实、质疑处理、投诉答复、履约验收和档案管理等方面。</w:t>
      </w:r>
    </w:p>
    <w:p>
      <w:pPr>
        <w:ind w:firstLine="640" w:firstLineChars="200"/>
        <w:rPr>
          <w:rFonts w:ascii="仿宋_GB2312" w:eastAsia="仿宋_GB2312"/>
          <w:sz w:val="32"/>
          <w:szCs w:val="32"/>
        </w:rPr>
      </w:pPr>
      <w:r>
        <w:rPr>
          <w:rFonts w:hint="eastAsia" w:ascii="仿宋_GB2312" w:eastAsia="仿宋_GB2312"/>
          <w:sz w:val="32"/>
          <w:szCs w:val="32"/>
        </w:rPr>
        <w:t>采购人对代理机构的评价主要包括队伍、场地配置情况及委托项目的信息公告、采购文件编制和评审现场组织等方面。</w:t>
      </w:r>
    </w:p>
    <w:p>
      <w:pPr>
        <w:ind w:firstLine="640" w:firstLineChars="200"/>
        <w:rPr>
          <w:rFonts w:ascii="仿宋_GB2312" w:eastAsia="仿宋_GB2312"/>
          <w:sz w:val="32"/>
          <w:szCs w:val="32"/>
        </w:rPr>
      </w:pPr>
      <w:r>
        <w:rPr>
          <w:rFonts w:hint="eastAsia" w:ascii="仿宋_GB2312" w:eastAsia="仿宋_GB2312"/>
          <w:sz w:val="32"/>
          <w:szCs w:val="32"/>
        </w:rPr>
        <w:t>供应商对代理机构的评价主要包括参与项目的信息公告、采购文件编制、评审现场组织和服务态度等方面。</w:t>
      </w:r>
    </w:p>
    <w:p>
      <w:pPr>
        <w:ind w:firstLine="640" w:firstLineChars="200"/>
        <w:rPr>
          <w:rFonts w:ascii="仿宋_GB2312" w:eastAsia="仿宋_GB2312"/>
          <w:sz w:val="32"/>
          <w:szCs w:val="32"/>
        </w:rPr>
      </w:pPr>
      <w:r>
        <w:rPr>
          <w:rFonts w:hint="eastAsia" w:ascii="仿宋_GB2312" w:eastAsia="仿宋_GB2312"/>
          <w:sz w:val="32"/>
          <w:szCs w:val="32"/>
        </w:rPr>
        <w:t>评审专家对代理机构的评价主要包括评审项目的采购文件编制和评审现场组织两个方面。</w:t>
      </w:r>
    </w:p>
    <w:p>
      <w:pPr>
        <w:ind w:firstLine="643" w:firstLineChars="200"/>
        <w:rPr>
          <w:rFonts w:ascii="仿宋_GB2312" w:eastAsia="仿宋_GB2312"/>
          <w:b/>
          <w:sz w:val="32"/>
          <w:szCs w:val="32"/>
        </w:rPr>
      </w:pPr>
      <w:r>
        <w:rPr>
          <w:rFonts w:hint="eastAsia" w:ascii="仿宋_GB2312" w:eastAsia="仿宋_GB2312"/>
          <w:b/>
          <w:sz w:val="32"/>
          <w:szCs w:val="32"/>
        </w:rPr>
        <w:t>第四条</w:t>
      </w:r>
      <w:r>
        <w:rPr>
          <w:rFonts w:hint="eastAsia" w:ascii="仿宋_GB2312" w:eastAsia="仿宋_GB2312"/>
          <w:sz w:val="32"/>
          <w:szCs w:val="32"/>
        </w:rPr>
        <w:t>　政府采购监管部门根据专项检查及投诉、举报、信访处理等日常监管情况，按格式化表单对代理机构进行量化评分，并将结果录入杭州市政府采购监管平台（以下简称监管平台）。</w:t>
      </w:r>
    </w:p>
    <w:p>
      <w:pPr>
        <w:ind w:firstLine="643" w:firstLineChars="20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采购人、供应商和评审专家对代理机构按照非常满意、满意、基本满意、一般和差五个等级进行评价，评价结果按对应规则转换成百分制分值。</w:t>
      </w:r>
    </w:p>
    <w:p>
      <w:pPr>
        <w:ind w:firstLine="643" w:firstLineChars="200"/>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采购人应当在采购项目履约验收完成后，在监管平台即时对代理机构进行评价。</w:t>
      </w:r>
    </w:p>
    <w:p>
      <w:pPr>
        <w:ind w:firstLine="640" w:firstLineChars="200"/>
        <w:rPr>
          <w:rFonts w:ascii="仿宋_GB2312" w:eastAsia="仿宋_GB2312"/>
          <w:sz w:val="32"/>
          <w:szCs w:val="32"/>
        </w:rPr>
      </w:pPr>
      <w:r>
        <w:rPr>
          <w:rFonts w:hint="eastAsia" w:ascii="仿宋_GB2312" w:eastAsia="仿宋_GB2312"/>
          <w:sz w:val="32"/>
          <w:szCs w:val="32"/>
        </w:rPr>
        <w:t>采购项目评审结束或履约验收完成后5个工作日内，评审专家和供应商通过监管平台发送的移动终端链接，对代理机构进行评价。逾期不评价的，以满分计。</w:t>
      </w:r>
    </w:p>
    <w:p>
      <w:pPr>
        <w:spacing w:beforeLines="50" w:afterLines="50"/>
        <w:jc w:val="center"/>
        <w:rPr>
          <w:rFonts w:ascii="黑体" w:hAnsi="黑体" w:eastAsia="黑体"/>
          <w:b/>
          <w:sz w:val="32"/>
          <w:szCs w:val="32"/>
        </w:rPr>
      </w:pPr>
      <w:r>
        <w:rPr>
          <w:rFonts w:hint="eastAsia" w:ascii="黑体" w:hAnsi="黑体" w:eastAsia="黑体"/>
          <w:b/>
          <w:sz w:val="32"/>
          <w:szCs w:val="32"/>
        </w:rPr>
        <w:t>第</w:t>
      </w:r>
      <w:r>
        <w:rPr>
          <w:rFonts w:ascii="黑体" w:hAnsi="黑体" w:eastAsia="黑体"/>
          <w:b/>
          <w:sz w:val="32"/>
          <w:szCs w:val="32"/>
        </w:rPr>
        <w:t>三</w:t>
      </w:r>
      <w:r>
        <w:rPr>
          <w:rFonts w:hint="eastAsia" w:ascii="黑体" w:hAnsi="黑体" w:eastAsia="黑体"/>
          <w:b/>
          <w:sz w:val="32"/>
          <w:szCs w:val="32"/>
        </w:rPr>
        <w:t>章　评价分值计算</w:t>
      </w:r>
    </w:p>
    <w:p>
      <w:pPr>
        <w:ind w:firstLine="643" w:firstLineChars="200"/>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信用评价</w:t>
      </w:r>
      <w:r>
        <w:rPr>
          <w:rFonts w:ascii="仿宋_GB2312" w:eastAsia="仿宋_GB2312"/>
          <w:sz w:val="32"/>
          <w:szCs w:val="32"/>
        </w:rPr>
        <w:t>初始</w:t>
      </w:r>
      <w:r>
        <w:rPr>
          <w:rFonts w:hint="eastAsia" w:ascii="仿宋_GB2312" w:eastAsia="仿宋_GB2312"/>
          <w:sz w:val="32"/>
          <w:szCs w:val="32"/>
        </w:rPr>
        <w:t>分值为100分。采购人、供应商和评审专家三者评价分值分别为80分、10分和10分。</w:t>
      </w:r>
    </w:p>
    <w:p>
      <w:pPr>
        <w:ind w:firstLine="640" w:firstLineChars="200"/>
        <w:rPr>
          <w:rFonts w:hint="eastAsia" w:ascii="仿宋_GB2312" w:eastAsia="仿宋_GB2312"/>
          <w:sz w:val="32"/>
          <w:szCs w:val="32"/>
        </w:rPr>
      </w:pPr>
      <w:r>
        <w:rPr>
          <w:rFonts w:hint="eastAsia" w:ascii="仿宋_GB2312" w:eastAsia="仿宋_GB2312"/>
          <w:sz w:val="32"/>
          <w:szCs w:val="32"/>
        </w:rPr>
        <w:t>信用评价分值在监管平台根据计分规则实行自动计算。</w:t>
      </w:r>
    </w:p>
    <w:p>
      <w:pPr>
        <w:ind w:firstLine="643" w:firstLineChars="200"/>
        <w:rPr>
          <w:rFonts w:ascii="仿宋_GB2312" w:eastAsia="仿宋_GB2312"/>
          <w:sz w:val="32"/>
          <w:szCs w:val="32"/>
        </w:rPr>
      </w:pPr>
      <w:r>
        <w:rPr>
          <w:rFonts w:hint="eastAsia" w:ascii="仿宋_GB2312" w:eastAsia="仿宋_GB2312"/>
          <w:b/>
          <w:sz w:val="32"/>
          <w:szCs w:val="32"/>
        </w:rPr>
        <w:t>第八条　</w:t>
      </w:r>
      <w:r>
        <w:rPr>
          <w:rFonts w:hint="eastAsia" w:ascii="仿宋_GB2312" w:eastAsia="仿宋_GB2312"/>
          <w:sz w:val="32"/>
          <w:szCs w:val="32"/>
        </w:rPr>
        <w:t>政府采购监管部门对代理机构的量化评分采用扣分形式计入评价结果，折合百分制为40分。其中，代理项目未落实政府采购政策和参与履约验收的，应当扣分，一个周期扣分不超过15分，每12个月扣分不超过5分；出现违法违规行为的，一次性扣10～15分，扣完40分为止。</w:t>
      </w:r>
    </w:p>
    <w:p>
      <w:pPr>
        <w:ind w:firstLine="643" w:firstLineChars="200"/>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信用评价分值实行动态更新，36个月为一个周期。其中，近12个月分值占70%，第13至第24个月占20%，第25至第36个月占10%。</w:t>
      </w:r>
    </w:p>
    <w:p>
      <w:pPr>
        <w:spacing w:beforeLines="50" w:afterLines="50"/>
        <w:jc w:val="center"/>
        <w:rPr>
          <w:rFonts w:ascii="黑体" w:hAnsi="黑体" w:eastAsia="黑体"/>
          <w:b/>
          <w:sz w:val="32"/>
          <w:szCs w:val="32"/>
        </w:rPr>
      </w:pPr>
      <w:r>
        <w:rPr>
          <w:rFonts w:hint="eastAsia" w:ascii="黑体" w:hAnsi="黑体" w:eastAsia="黑体"/>
          <w:b/>
          <w:sz w:val="32"/>
          <w:szCs w:val="32"/>
        </w:rPr>
        <w:t>第</w:t>
      </w:r>
      <w:r>
        <w:rPr>
          <w:rFonts w:ascii="黑体" w:hAnsi="黑体" w:eastAsia="黑体"/>
          <w:b/>
          <w:sz w:val="32"/>
          <w:szCs w:val="32"/>
        </w:rPr>
        <w:t>四</w:t>
      </w:r>
      <w:r>
        <w:rPr>
          <w:rFonts w:hint="eastAsia" w:ascii="黑体" w:hAnsi="黑体" w:eastAsia="黑体"/>
          <w:b/>
          <w:sz w:val="32"/>
          <w:szCs w:val="32"/>
        </w:rPr>
        <w:t>章　信用监管及评价结果运用</w:t>
      </w:r>
    </w:p>
    <w:p>
      <w:pPr>
        <w:ind w:firstLine="643" w:firstLineChars="20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代理机构信用评价结果每季度在杭州市政府采购网上公布。同时公布代理业务累计项目数、代理项目资金总额以及其他代理业务情况。</w:t>
      </w:r>
    </w:p>
    <w:p>
      <w:pPr>
        <w:ind w:firstLine="643" w:firstLineChars="200"/>
        <w:rPr>
          <w:rFonts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信用评价结果与政府信用管理部门实行共享，并将结果运用到政府采购活动中。</w:t>
      </w:r>
    </w:p>
    <w:p>
      <w:pPr>
        <w:ind w:firstLine="643" w:firstLineChars="200"/>
        <w:rPr>
          <w:rFonts w:ascii="仿宋_GB2312" w:eastAsia="仿宋_GB2312"/>
          <w:sz w:val="32"/>
          <w:szCs w:val="32"/>
        </w:rPr>
      </w:pPr>
      <w:r>
        <w:rPr>
          <w:rFonts w:hint="eastAsia" w:ascii="仿宋_GB2312" w:eastAsia="仿宋_GB2312"/>
          <w:b/>
          <w:sz w:val="32"/>
          <w:szCs w:val="32"/>
        </w:rPr>
        <w:t xml:space="preserve">第十二条  </w:t>
      </w:r>
      <w:r>
        <w:rPr>
          <w:rFonts w:hint="eastAsia" w:ascii="仿宋_GB2312" w:eastAsia="仿宋_GB2312"/>
          <w:sz w:val="32"/>
          <w:szCs w:val="32"/>
        </w:rPr>
        <w:t>采购人应当严格执行政府采购内控制度，选择代理机构应合理运用评价结果。</w:t>
      </w:r>
    </w:p>
    <w:p>
      <w:pPr>
        <w:spacing w:beforeLines="50" w:afterLines="50"/>
        <w:jc w:val="center"/>
        <w:rPr>
          <w:rFonts w:ascii="黑体" w:hAnsi="黑体" w:eastAsia="黑体"/>
          <w:b/>
          <w:sz w:val="32"/>
          <w:szCs w:val="32"/>
        </w:rPr>
      </w:pPr>
      <w:r>
        <w:rPr>
          <w:rFonts w:hint="eastAsia" w:ascii="黑体" w:hAnsi="黑体" w:eastAsia="黑体"/>
          <w:b/>
          <w:sz w:val="32"/>
          <w:szCs w:val="32"/>
        </w:rPr>
        <w:t>第</w:t>
      </w:r>
      <w:r>
        <w:rPr>
          <w:rFonts w:ascii="黑体" w:hAnsi="黑体" w:eastAsia="黑体"/>
          <w:b/>
          <w:sz w:val="32"/>
          <w:szCs w:val="32"/>
        </w:rPr>
        <w:t>五</w:t>
      </w:r>
      <w:r>
        <w:rPr>
          <w:rFonts w:hint="eastAsia" w:ascii="黑体" w:hAnsi="黑体" w:eastAsia="黑体"/>
          <w:b/>
          <w:sz w:val="32"/>
          <w:szCs w:val="32"/>
        </w:rPr>
        <w:t>章　信用救济</w:t>
      </w:r>
    </w:p>
    <w:p>
      <w:pPr>
        <w:ind w:firstLine="643"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信用评价结果接受采购当事人及社会监督。</w:t>
      </w:r>
    </w:p>
    <w:p>
      <w:pPr>
        <w:ind w:firstLine="643" w:firstLineChars="200"/>
        <w:rPr>
          <w:rFonts w:ascii="仿宋_GB2312" w:eastAsia="仿宋_GB2312"/>
          <w:sz w:val="32"/>
          <w:szCs w:val="32"/>
        </w:rPr>
      </w:pPr>
      <w:r>
        <w:rPr>
          <w:rFonts w:hint="eastAsia" w:ascii="仿宋_GB2312" w:eastAsia="仿宋_GB2312"/>
          <w:b/>
          <w:sz w:val="32"/>
          <w:szCs w:val="32"/>
        </w:rPr>
        <w:t xml:space="preserve">第十四条 </w:t>
      </w:r>
      <w:r>
        <w:rPr>
          <w:rFonts w:hint="eastAsia" w:ascii="仿宋_GB2312" w:eastAsia="仿宋_GB2312"/>
          <w:sz w:val="32"/>
          <w:szCs w:val="32"/>
        </w:rPr>
        <w:t>代理机构非因主观因素造成失信行为并主动纠正的，在监管平台上按程序申请实施信用修复。</w:t>
      </w:r>
    </w:p>
    <w:p>
      <w:pPr>
        <w:ind w:firstLine="640" w:firstLineChars="200"/>
        <w:rPr>
          <w:rFonts w:ascii="仿宋_GB2312" w:eastAsia="仿宋_GB2312"/>
          <w:sz w:val="32"/>
          <w:szCs w:val="32"/>
        </w:rPr>
      </w:pPr>
      <w:r>
        <w:rPr>
          <w:rFonts w:hint="eastAsia" w:ascii="仿宋_GB2312" w:eastAsia="仿宋_GB2312"/>
          <w:sz w:val="32"/>
          <w:szCs w:val="32"/>
        </w:rPr>
        <w:t>代理机构认为受到恶意差评的，可以申诉，并在监管平台上按程序申请信用修复。</w:t>
      </w:r>
    </w:p>
    <w:p>
      <w:pPr>
        <w:spacing w:beforeLines="50" w:afterLines="50"/>
        <w:jc w:val="center"/>
        <w:rPr>
          <w:rFonts w:ascii="黑体" w:hAnsi="黑体" w:eastAsia="黑体"/>
          <w:b/>
          <w:sz w:val="32"/>
          <w:szCs w:val="32"/>
        </w:rPr>
      </w:pPr>
      <w:r>
        <w:rPr>
          <w:rFonts w:hint="eastAsia" w:ascii="黑体" w:hAnsi="黑体" w:eastAsia="黑体"/>
          <w:b/>
          <w:sz w:val="32"/>
          <w:szCs w:val="32"/>
        </w:rPr>
        <w:t>第</w:t>
      </w:r>
      <w:r>
        <w:rPr>
          <w:rFonts w:ascii="黑体" w:hAnsi="黑体" w:eastAsia="黑体"/>
          <w:b/>
          <w:sz w:val="32"/>
          <w:szCs w:val="32"/>
        </w:rPr>
        <w:t>六</w:t>
      </w:r>
      <w:r>
        <w:rPr>
          <w:rFonts w:hint="eastAsia" w:ascii="黑体" w:hAnsi="黑体" w:eastAsia="黑体"/>
          <w:b/>
          <w:sz w:val="32"/>
          <w:szCs w:val="32"/>
        </w:rPr>
        <w:t>章　附则</w:t>
      </w:r>
    </w:p>
    <w:p>
      <w:pPr>
        <w:ind w:firstLine="643" w:firstLineChars="200"/>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本办法由杭州市财政局负责解释。</w:t>
      </w:r>
    </w:p>
    <w:p>
      <w:pPr>
        <w:ind w:firstLine="640" w:firstLineChars="200"/>
        <w:rPr>
          <w:rFonts w:ascii="仿宋_GB2312" w:eastAsia="仿宋_GB2312"/>
          <w:sz w:val="32"/>
          <w:szCs w:val="32"/>
        </w:rPr>
      </w:pPr>
      <w:r>
        <w:rPr>
          <w:rFonts w:hint="eastAsia" w:ascii="仿宋_GB2312" w:eastAsia="仿宋_GB2312"/>
          <w:sz w:val="32"/>
          <w:szCs w:val="32"/>
        </w:rPr>
        <w:t>各县（市、区）参照本规定执行。</w:t>
      </w:r>
    </w:p>
    <w:p>
      <w:pPr>
        <w:ind w:firstLine="640" w:firstLineChars="200"/>
        <w:rPr>
          <w:rFonts w:ascii="仿宋_GB2312" w:eastAsia="仿宋_GB2312"/>
          <w:sz w:val="32"/>
          <w:szCs w:val="32"/>
        </w:rPr>
      </w:pPr>
      <w:r>
        <w:rPr>
          <w:rFonts w:hint="eastAsia" w:ascii="仿宋_GB2312" w:eastAsia="仿宋_GB2312"/>
          <w:sz w:val="32"/>
          <w:szCs w:val="32"/>
        </w:rPr>
        <w:t>本办法自2019年　　月　　日起执行。</w:t>
      </w:r>
    </w:p>
    <w:p>
      <w:pPr>
        <w:spacing w:line="560" w:lineRule="exact"/>
        <w:jc w:val="center"/>
        <w:rPr>
          <w:rFonts w:ascii="楷体" w:hAnsi="楷体" w:eastAsia="楷体"/>
          <w:sz w:val="32"/>
          <w:szCs w:val="32"/>
        </w:rPr>
      </w:pPr>
      <w:r>
        <w:rPr>
          <w:rFonts w:hint="eastAsia" w:ascii="楷体" w:hAnsi="楷体" w:eastAsia="楷体"/>
          <w:sz w:val="32"/>
          <w:szCs w:val="32"/>
        </w:rPr>
        <w:t>　　　　</w:t>
      </w:r>
    </w:p>
    <w:p>
      <w:pPr>
        <w:spacing w:line="560" w:lineRule="exact"/>
        <w:jc w:val="center"/>
        <w:rPr>
          <w:rFonts w:ascii="楷体" w:hAnsi="楷体" w:eastAsia="楷体"/>
          <w:sz w:val="32"/>
          <w:szCs w:val="32"/>
        </w:rPr>
      </w:pPr>
    </w:p>
    <w:p>
      <w:pPr>
        <w:ind w:firstLine="640" w:firstLineChars="200"/>
        <w:rPr>
          <w:rFonts w:ascii="仿宋_GB2312" w:eastAsia="仿宋_GB2312"/>
          <w:sz w:val="32"/>
          <w:szCs w:val="32"/>
        </w:rPr>
      </w:pPr>
    </w:p>
    <w:sectPr>
      <w:footerReference r:id="rId3" w:type="default"/>
      <w:pgSz w:w="11906" w:h="16838"/>
      <w:pgMar w:top="1474" w:right="1474" w:bottom="141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Batang" w:hAnsi="Batang" w:eastAsia="Batang"/>
        <w:sz w:val="24"/>
        <w:szCs w:val="24"/>
      </w:rPr>
      <w:fldChar w:fldCharType="begin"/>
    </w:r>
    <w:r>
      <w:rPr>
        <w:rFonts w:ascii="Batang" w:hAnsi="Batang" w:eastAsia="Batang"/>
        <w:sz w:val="24"/>
        <w:szCs w:val="24"/>
      </w:rPr>
      <w:instrText xml:space="preserve"> PAGE   \* MERGEFORMAT </w:instrText>
    </w:r>
    <w:r>
      <w:rPr>
        <w:rFonts w:ascii="Batang" w:hAnsi="Batang" w:eastAsia="Batang"/>
        <w:sz w:val="24"/>
        <w:szCs w:val="24"/>
      </w:rPr>
      <w:fldChar w:fldCharType="separate"/>
    </w:r>
    <w:r>
      <w:rPr>
        <w:rFonts w:ascii="Batang" w:hAnsi="Batang" w:eastAsia="Batang"/>
        <w:sz w:val="24"/>
        <w:szCs w:val="24"/>
        <w:lang w:val="zh-CN"/>
      </w:rPr>
      <w:t>3</w:t>
    </w:r>
    <w:r>
      <w:rPr>
        <w:rFonts w:ascii="Batang" w:hAnsi="Batang" w:eastAsia="Batang"/>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QxOTk5NjA2MDRiYmZlNWMwMjI3ZTYxYjcxM2RlNzYifQ=="/>
  </w:docVars>
  <w:rsids>
    <w:rsidRoot w:val="00172A27"/>
    <w:rsid w:val="00000EEA"/>
    <w:rsid w:val="000021EB"/>
    <w:rsid w:val="00002813"/>
    <w:rsid w:val="00007038"/>
    <w:rsid w:val="00014D6F"/>
    <w:rsid w:val="00014DB7"/>
    <w:rsid w:val="00015A9A"/>
    <w:rsid w:val="00020E4B"/>
    <w:rsid w:val="00020E6E"/>
    <w:rsid w:val="00032B26"/>
    <w:rsid w:val="00033141"/>
    <w:rsid w:val="000369E7"/>
    <w:rsid w:val="00042684"/>
    <w:rsid w:val="00044BBB"/>
    <w:rsid w:val="000464B4"/>
    <w:rsid w:val="00050B3E"/>
    <w:rsid w:val="00051E08"/>
    <w:rsid w:val="00053BDD"/>
    <w:rsid w:val="00053C67"/>
    <w:rsid w:val="00053DBE"/>
    <w:rsid w:val="0005515B"/>
    <w:rsid w:val="00060792"/>
    <w:rsid w:val="00060CCE"/>
    <w:rsid w:val="00065BC4"/>
    <w:rsid w:val="00070A9E"/>
    <w:rsid w:val="000711E3"/>
    <w:rsid w:val="00072311"/>
    <w:rsid w:val="00075435"/>
    <w:rsid w:val="000758F4"/>
    <w:rsid w:val="000768B8"/>
    <w:rsid w:val="00084DB4"/>
    <w:rsid w:val="0008527E"/>
    <w:rsid w:val="00086069"/>
    <w:rsid w:val="000A1FC5"/>
    <w:rsid w:val="000A4673"/>
    <w:rsid w:val="000B0064"/>
    <w:rsid w:val="000B1748"/>
    <w:rsid w:val="000B2738"/>
    <w:rsid w:val="000B5315"/>
    <w:rsid w:val="000B65F5"/>
    <w:rsid w:val="000B66DA"/>
    <w:rsid w:val="000B7005"/>
    <w:rsid w:val="000C5DB4"/>
    <w:rsid w:val="000D3593"/>
    <w:rsid w:val="000E1B19"/>
    <w:rsid w:val="000E274D"/>
    <w:rsid w:val="00101EDE"/>
    <w:rsid w:val="00102BF7"/>
    <w:rsid w:val="001069C4"/>
    <w:rsid w:val="00117B5B"/>
    <w:rsid w:val="00122DDF"/>
    <w:rsid w:val="001236BA"/>
    <w:rsid w:val="0014021C"/>
    <w:rsid w:val="00143A4F"/>
    <w:rsid w:val="0014576D"/>
    <w:rsid w:val="00161769"/>
    <w:rsid w:val="00163D2D"/>
    <w:rsid w:val="0016415C"/>
    <w:rsid w:val="00166A14"/>
    <w:rsid w:val="00167A18"/>
    <w:rsid w:val="00170FDE"/>
    <w:rsid w:val="00171A74"/>
    <w:rsid w:val="00172A27"/>
    <w:rsid w:val="0017482C"/>
    <w:rsid w:val="00182EC1"/>
    <w:rsid w:val="0018312B"/>
    <w:rsid w:val="00184B33"/>
    <w:rsid w:val="00195BF9"/>
    <w:rsid w:val="0019608C"/>
    <w:rsid w:val="001A05A3"/>
    <w:rsid w:val="001A7CFD"/>
    <w:rsid w:val="001B07D6"/>
    <w:rsid w:val="001B2167"/>
    <w:rsid w:val="001C1C32"/>
    <w:rsid w:val="001C2FE7"/>
    <w:rsid w:val="001C406B"/>
    <w:rsid w:val="001C4B11"/>
    <w:rsid w:val="001C680C"/>
    <w:rsid w:val="001D3466"/>
    <w:rsid w:val="001F36C7"/>
    <w:rsid w:val="001F4550"/>
    <w:rsid w:val="001F6667"/>
    <w:rsid w:val="002053D3"/>
    <w:rsid w:val="00210FFC"/>
    <w:rsid w:val="002124BF"/>
    <w:rsid w:val="00213BE3"/>
    <w:rsid w:val="00217499"/>
    <w:rsid w:val="0022304B"/>
    <w:rsid w:val="00224DCA"/>
    <w:rsid w:val="00225309"/>
    <w:rsid w:val="002276E9"/>
    <w:rsid w:val="002339EB"/>
    <w:rsid w:val="0023771E"/>
    <w:rsid w:val="00241131"/>
    <w:rsid w:val="002442F6"/>
    <w:rsid w:val="00251BA7"/>
    <w:rsid w:val="00261F1C"/>
    <w:rsid w:val="002624DC"/>
    <w:rsid w:val="00264218"/>
    <w:rsid w:val="002669BE"/>
    <w:rsid w:val="002670D0"/>
    <w:rsid w:val="00273540"/>
    <w:rsid w:val="002756ED"/>
    <w:rsid w:val="00277795"/>
    <w:rsid w:val="00277D79"/>
    <w:rsid w:val="002812EF"/>
    <w:rsid w:val="00284BE0"/>
    <w:rsid w:val="00285FC2"/>
    <w:rsid w:val="00293A54"/>
    <w:rsid w:val="00297CA3"/>
    <w:rsid w:val="002A2779"/>
    <w:rsid w:val="002A4D6A"/>
    <w:rsid w:val="002A7E60"/>
    <w:rsid w:val="002B4790"/>
    <w:rsid w:val="002B5DC0"/>
    <w:rsid w:val="002D0AF1"/>
    <w:rsid w:val="002D1D8A"/>
    <w:rsid w:val="002D5A35"/>
    <w:rsid w:val="002D6003"/>
    <w:rsid w:val="002E04B7"/>
    <w:rsid w:val="002E07D2"/>
    <w:rsid w:val="002E2991"/>
    <w:rsid w:val="002F7451"/>
    <w:rsid w:val="00302050"/>
    <w:rsid w:val="003062F3"/>
    <w:rsid w:val="00311BFE"/>
    <w:rsid w:val="00313011"/>
    <w:rsid w:val="00317B49"/>
    <w:rsid w:val="003218BD"/>
    <w:rsid w:val="00324CAE"/>
    <w:rsid w:val="0033290F"/>
    <w:rsid w:val="003351C7"/>
    <w:rsid w:val="0033589F"/>
    <w:rsid w:val="00335EBE"/>
    <w:rsid w:val="00341AB9"/>
    <w:rsid w:val="0034429D"/>
    <w:rsid w:val="0035101F"/>
    <w:rsid w:val="003513C0"/>
    <w:rsid w:val="00353E8A"/>
    <w:rsid w:val="00354052"/>
    <w:rsid w:val="0035471B"/>
    <w:rsid w:val="00356EFE"/>
    <w:rsid w:val="00360D29"/>
    <w:rsid w:val="00362CAF"/>
    <w:rsid w:val="00363084"/>
    <w:rsid w:val="00367594"/>
    <w:rsid w:val="0037108D"/>
    <w:rsid w:val="00377725"/>
    <w:rsid w:val="003835E2"/>
    <w:rsid w:val="003874D2"/>
    <w:rsid w:val="00391A57"/>
    <w:rsid w:val="00397616"/>
    <w:rsid w:val="003A09EC"/>
    <w:rsid w:val="003A111D"/>
    <w:rsid w:val="003A2D28"/>
    <w:rsid w:val="003B7C35"/>
    <w:rsid w:val="003C631D"/>
    <w:rsid w:val="003D1A70"/>
    <w:rsid w:val="003D33D6"/>
    <w:rsid w:val="003D35B4"/>
    <w:rsid w:val="003D740A"/>
    <w:rsid w:val="003E20AD"/>
    <w:rsid w:val="003E36F7"/>
    <w:rsid w:val="003E5A4C"/>
    <w:rsid w:val="003F064F"/>
    <w:rsid w:val="003F4F93"/>
    <w:rsid w:val="00403357"/>
    <w:rsid w:val="00406571"/>
    <w:rsid w:val="004137BD"/>
    <w:rsid w:val="004201FD"/>
    <w:rsid w:val="00423A87"/>
    <w:rsid w:val="00424973"/>
    <w:rsid w:val="0044331D"/>
    <w:rsid w:val="004514B2"/>
    <w:rsid w:val="00451CF9"/>
    <w:rsid w:val="004621CF"/>
    <w:rsid w:val="00471514"/>
    <w:rsid w:val="0047253F"/>
    <w:rsid w:val="004725CA"/>
    <w:rsid w:val="00472A5E"/>
    <w:rsid w:val="00480A45"/>
    <w:rsid w:val="00481B45"/>
    <w:rsid w:val="00481ED6"/>
    <w:rsid w:val="00483C62"/>
    <w:rsid w:val="00486234"/>
    <w:rsid w:val="004903C0"/>
    <w:rsid w:val="004A07DF"/>
    <w:rsid w:val="004A2A60"/>
    <w:rsid w:val="004A36E0"/>
    <w:rsid w:val="004B4F55"/>
    <w:rsid w:val="004B55F4"/>
    <w:rsid w:val="004C4C09"/>
    <w:rsid w:val="004D1981"/>
    <w:rsid w:val="004D2C51"/>
    <w:rsid w:val="004D4239"/>
    <w:rsid w:val="004D4D5F"/>
    <w:rsid w:val="004D4D91"/>
    <w:rsid w:val="004F6EA2"/>
    <w:rsid w:val="00502F23"/>
    <w:rsid w:val="0051349C"/>
    <w:rsid w:val="00525227"/>
    <w:rsid w:val="00533B6B"/>
    <w:rsid w:val="00545F97"/>
    <w:rsid w:val="00546C0E"/>
    <w:rsid w:val="00551FE7"/>
    <w:rsid w:val="00552FB0"/>
    <w:rsid w:val="00564B62"/>
    <w:rsid w:val="00570F9F"/>
    <w:rsid w:val="00581A1F"/>
    <w:rsid w:val="00590B46"/>
    <w:rsid w:val="005976CE"/>
    <w:rsid w:val="005A12E8"/>
    <w:rsid w:val="005A719C"/>
    <w:rsid w:val="005B3391"/>
    <w:rsid w:val="005C0BD0"/>
    <w:rsid w:val="005C2CBE"/>
    <w:rsid w:val="005D4C9B"/>
    <w:rsid w:val="005D559C"/>
    <w:rsid w:val="005E181B"/>
    <w:rsid w:val="005E4875"/>
    <w:rsid w:val="005E60A8"/>
    <w:rsid w:val="005F0217"/>
    <w:rsid w:val="005F1B48"/>
    <w:rsid w:val="005F4431"/>
    <w:rsid w:val="005F5B7C"/>
    <w:rsid w:val="005F5D4A"/>
    <w:rsid w:val="0060003C"/>
    <w:rsid w:val="006028DD"/>
    <w:rsid w:val="0060410E"/>
    <w:rsid w:val="00605D86"/>
    <w:rsid w:val="006070F2"/>
    <w:rsid w:val="0061033A"/>
    <w:rsid w:val="00612612"/>
    <w:rsid w:val="006138D5"/>
    <w:rsid w:val="00627592"/>
    <w:rsid w:val="00631814"/>
    <w:rsid w:val="00634D6F"/>
    <w:rsid w:val="00636A34"/>
    <w:rsid w:val="00642540"/>
    <w:rsid w:val="00652004"/>
    <w:rsid w:val="0065406D"/>
    <w:rsid w:val="006651EE"/>
    <w:rsid w:val="0066614B"/>
    <w:rsid w:val="00670892"/>
    <w:rsid w:val="006739F3"/>
    <w:rsid w:val="00681E31"/>
    <w:rsid w:val="0068207F"/>
    <w:rsid w:val="00682B22"/>
    <w:rsid w:val="00685283"/>
    <w:rsid w:val="0068695D"/>
    <w:rsid w:val="00695543"/>
    <w:rsid w:val="00696A80"/>
    <w:rsid w:val="006A356F"/>
    <w:rsid w:val="006A39C1"/>
    <w:rsid w:val="006A4E2A"/>
    <w:rsid w:val="006A6CFB"/>
    <w:rsid w:val="006A736C"/>
    <w:rsid w:val="006B00AD"/>
    <w:rsid w:val="006B0168"/>
    <w:rsid w:val="006C141A"/>
    <w:rsid w:val="006C57D8"/>
    <w:rsid w:val="006E36AE"/>
    <w:rsid w:val="006F51BB"/>
    <w:rsid w:val="00704A6B"/>
    <w:rsid w:val="00711E61"/>
    <w:rsid w:val="00712E4F"/>
    <w:rsid w:val="00714CFA"/>
    <w:rsid w:val="007161E2"/>
    <w:rsid w:val="00737056"/>
    <w:rsid w:val="0074774B"/>
    <w:rsid w:val="0077005C"/>
    <w:rsid w:val="0077006B"/>
    <w:rsid w:val="007701CA"/>
    <w:rsid w:val="00770657"/>
    <w:rsid w:val="0078100F"/>
    <w:rsid w:val="00783DB1"/>
    <w:rsid w:val="0079396E"/>
    <w:rsid w:val="007952C3"/>
    <w:rsid w:val="007A3CA1"/>
    <w:rsid w:val="007B22F8"/>
    <w:rsid w:val="007C3DB5"/>
    <w:rsid w:val="007C46C2"/>
    <w:rsid w:val="007C4760"/>
    <w:rsid w:val="007D392D"/>
    <w:rsid w:val="007D4643"/>
    <w:rsid w:val="007D4F24"/>
    <w:rsid w:val="007D685E"/>
    <w:rsid w:val="007D73FB"/>
    <w:rsid w:val="007D7A9C"/>
    <w:rsid w:val="007E0B09"/>
    <w:rsid w:val="007E680E"/>
    <w:rsid w:val="007F08E4"/>
    <w:rsid w:val="007F234A"/>
    <w:rsid w:val="007F302B"/>
    <w:rsid w:val="007F6AEA"/>
    <w:rsid w:val="008025CD"/>
    <w:rsid w:val="008037F3"/>
    <w:rsid w:val="008051EE"/>
    <w:rsid w:val="00807962"/>
    <w:rsid w:val="008134A0"/>
    <w:rsid w:val="00814C4F"/>
    <w:rsid w:val="00816A18"/>
    <w:rsid w:val="00823134"/>
    <w:rsid w:val="0082345C"/>
    <w:rsid w:val="008252A3"/>
    <w:rsid w:val="0083104B"/>
    <w:rsid w:val="00833CD8"/>
    <w:rsid w:val="00836378"/>
    <w:rsid w:val="00836385"/>
    <w:rsid w:val="00837947"/>
    <w:rsid w:val="00842596"/>
    <w:rsid w:val="00866C4A"/>
    <w:rsid w:val="0087235D"/>
    <w:rsid w:val="008737B0"/>
    <w:rsid w:val="008803AB"/>
    <w:rsid w:val="00882D54"/>
    <w:rsid w:val="00882F50"/>
    <w:rsid w:val="00887C29"/>
    <w:rsid w:val="00892228"/>
    <w:rsid w:val="00893BE4"/>
    <w:rsid w:val="008948F8"/>
    <w:rsid w:val="008A2F3F"/>
    <w:rsid w:val="008A3D18"/>
    <w:rsid w:val="008B3F99"/>
    <w:rsid w:val="008B6BA2"/>
    <w:rsid w:val="008B7F7E"/>
    <w:rsid w:val="008C13AB"/>
    <w:rsid w:val="008C2577"/>
    <w:rsid w:val="008C3333"/>
    <w:rsid w:val="008C4E8B"/>
    <w:rsid w:val="008D16DA"/>
    <w:rsid w:val="008D18E6"/>
    <w:rsid w:val="008D30B1"/>
    <w:rsid w:val="008D3AFB"/>
    <w:rsid w:val="008D5A67"/>
    <w:rsid w:val="008E09C3"/>
    <w:rsid w:val="008E1B16"/>
    <w:rsid w:val="008E2CB4"/>
    <w:rsid w:val="008E3354"/>
    <w:rsid w:val="008E7C9F"/>
    <w:rsid w:val="008F4113"/>
    <w:rsid w:val="00900D2B"/>
    <w:rsid w:val="0090146D"/>
    <w:rsid w:val="00901B57"/>
    <w:rsid w:val="009021B1"/>
    <w:rsid w:val="009046D9"/>
    <w:rsid w:val="00910BD8"/>
    <w:rsid w:val="00920038"/>
    <w:rsid w:val="00931520"/>
    <w:rsid w:val="00935775"/>
    <w:rsid w:val="00943C49"/>
    <w:rsid w:val="00947612"/>
    <w:rsid w:val="009536DD"/>
    <w:rsid w:val="00955FC2"/>
    <w:rsid w:val="00960BAD"/>
    <w:rsid w:val="00965818"/>
    <w:rsid w:val="0096791C"/>
    <w:rsid w:val="0097401F"/>
    <w:rsid w:val="0098008B"/>
    <w:rsid w:val="009861D7"/>
    <w:rsid w:val="00992977"/>
    <w:rsid w:val="009968A3"/>
    <w:rsid w:val="009A032A"/>
    <w:rsid w:val="009A0C0B"/>
    <w:rsid w:val="009A2106"/>
    <w:rsid w:val="009C0CDB"/>
    <w:rsid w:val="009C2DC7"/>
    <w:rsid w:val="009C3BFC"/>
    <w:rsid w:val="009D338C"/>
    <w:rsid w:val="009D4914"/>
    <w:rsid w:val="009E1E79"/>
    <w:rsid w:val="009E449A"/>
    <w:rsid w:val="009F4364"/>
    <w:rsid w:val="00A078A4"/>
    <w:rsid w:val="00A1696F"/>
    <w:rsid w:val="00A42EFE"/>
    <w:rsid w:val="00A51E81"/>
    <w:rsid w:val="00A540BA"/>
    <w:rsid w:val="00A554C4"/>
    <w:rsid w:val="00A60123"/>
    <w:rsid w:val="00A71539"/>
    <w:rsid w:val="00A723BC"/>
    <w:rsid w:val="00A751B9"/>
    <w:rsid w:val="00A837D1"/>
    <w:rsid w:val="00A84936"/>
    <w:rsid w:val="00A84A1B"/>
    <w:rsid w:val="00A86420"/>
    <w:rsid w:val="00A97B9B"/>
    <w:rsid w:val="00AA46A6"/>
    <w:rsid w:val="00AA73DB"/>
    <w:rsid w:val="00AB3787"/>
    <w:rsid w:val="00AB50F1"/>
    <w:rsid w:val="00AC2137"/>
    <w:rsid w:val="00AD2D5C"/>
    <w:rsid w:val="00AD5D1D"/>
    <w:rsid w:val="00AE1630"/>
    <w:rsid w:val="00AF4B08"/>
    <w:rsid w:val="00AF57C2"/>
    <w:rsid w:val="00B16C2F"/>
    <w:rsid w:val="00B23680"/>
    <w:rsid w:val="00B26107"/>
    <w:rsid w:val="00B42423"/>
    <w:rsid w:val="00B46BF7"/>
    <w:rsid w:val="00B46D7F"/>
    <w:rsid w:val="00B4720D"/>
    <w:rsid w:val="00B5250C"/>
    <w:rsid w:val="00B545F0"/>
    <w:rsid w:val="00B54F94"/>
    <w:rsid w:val="00B57632"/>
    <w:rsid w:val="00B65F9A"/>
    <w:rsid w:val="00B66C2E"/>
    <w:rsid w:val="00B72DF9"/>
    <w:rsid w:val="00B757F9"/>
    <w:rsid w:val="00B75E24"/>
    <w:rsid w:val="00B7731C"/>
    <w:rsid w:val="00B833C8"/>
    <w:rsid w:val="00B90545"/>
    <w:rsid w:val="00B9727F"/>
    <w:rsid w:val="00BA5316"/>
    <w:rsid w:val="00BB0625"/>
    <w:rsid w:val="00BB3BB2"/>
    <w:rsid w:val="00BB777A"/>
    <w:rsid w:val="00BC649B"/>
    <w:rsid w:val="00BD79FA"/>
    <w:rsid w:val="00BE027A"/>
    <w:rsid w:val="00BF583A"/>
    <w:rsid w:val="00C10C6A"/>
    <w:rsid w:val="00C13E98"/>
    <w:rsid w:val="00C22CCA"/>
    <w:rsid w:val="00C23C89"/>
    <w:rsid w:val="00C253B2"/>
    <w:rsid w:val="00C3305B"/>
    <w:rsid w:val="00C33B85"/>
    <w:rsid w:val="00C34BB9"/>
    <w:rsid w:val="00C430CE"/>
    <w:rsid w:val="00C51CA6"/>
    <w:rsid w:val="00C53B28"/>
    <w:rsid w:val="00C53DA1"/>
    <w:rsid w:val="00C608DF"/>
    <w:rsid w:val="00C63300"/>
    <w:rsid w:val="00C67E79"/>
    <w:rsid w:val="00C70CC0"/>
    <w:rsid w:val="00C74ECF"/>
    <w:rsid w:val="00C8263D"/>
    <w:rsid w:val="00C922D0"/>
    <w:rsid w:val="00C9396D"/>
    <w:rsid w:val="00CA525F"/>
    <w:rsid w:val="00CB4B05"/>
    <w:rsid w:val="00CC08BC"/>
    <w:rsid w:val="00CC63EE"/>
    <w:rsid w:val="00CC65A6"/>
    <w:rsid w:val="00CC78B4"/>
    <w:rsid w:val="00CD053D"/>
    <w:rsid w:val="00CD5F50"/>
    <w:rsid w:val="00CE1B2F"/>
    <w:rsid w:val="00CE3435"/>
    <w:rsid w:val="00CF10CD"/>
    <w:rsid w:val="00CF122C"/>
    <w:rsid w:val="00D106E0"/>
    <w:rsid w:val="00D125BD"/>
    <w:rsid w:val="00D12E36"/>
    <w:rsid w:val="00D20B12"/>
    <w:rsid w:val="00D232ED"/>
    <w:rsid w:val="00D24DA7"/>
    <w:rsid w:val="00D3246C"/>
    <w:rsid w:val="00D41117"/>
    <w:rsid w:val="00D52F5C"/>
    <w:rsid w:val="00D55579"/>
    <w:rsid w:val="00D56CDA"/>
    <w:rsid w:val="00D63343"/>
    <w:rsid w:val="00D671D1"/>
    <w:rsid w:val="00D7576B"/>
    <w:rsid w:val="00D776AA"/>
    <w:rsid w:val="00D81212"/>
    <w:rsid w:val="00DA2488"/>
    <w:rsid w:val="00DA3590"/>
    <w:rsid w:val="00DA42F3"/>
    <w:rsid w:val="00DB52F7"/>
    <w:rsid w:val="00DC41F2"/>
    <w:rsid w:val="00DC45DB"/>
    <w:rsid w:val="00DC4BFB"/>
    <w:rsid w:val="00DD2FF7"/>
    <w:rsid w:val="00DE70E6"/>
    <w:rsid w:val="00DE77B2"/>
    <w:rsid w:val="00DF1971"/>
    <w:rsid w:val="00E0456F"/>
    <w:rsid w:val="00E07669"/>
    <w:rsid w:val="00E111E1"/>
    <w:rsid w:val="00E2044C"/>
    <w:rsid w:val="00E21B66"/>
    <w:rsid w:val="00E26726"/>
    <w:rsid w:val="00E3444A"/>
    <w:rsid w:val="00E34BD3"/>
    <w:rsid w:val="00E40FA4"/>
    <w:rsid w:val="00E41088"/>
    <w:rsid w:val="00E44C2F"/>
    <w:rsid w:val="00E45490"/>
    <w:rsid w:val="00E45D28"/>
    <w:rsid w:val="00E64E6B"/>
    <w:rsid w:val="00E712F2"/>
    <w:rsid w:val="00E722B4"/>
    <w:rsid w:val="00E811DE"/>
    <w:rsid w:val="00E87CD6"/>
    <w:rsid w:val="00E95796"/>
    <w:rsid w:val="00E964B7"/>
    <w:rsid w:val="00EA2E4E"/>
    <w:rsid w:val="00EA40D9"/>
    <w:rsid w:val="00EA6AA3"/>
    <w:rsid w:val="00EA7938"/>
    <w:rsid w:val="00EB17FA"/>
    <w:rsid w:val="00EB6356"/>
    <w:rsid w:val="00ED6121"/>
    <w:rsid w:val="00EF40A2"/>
    <w:rsid w:val="00F00097"/>
    <w:rsid w:val="00F047B7"/>
    <w:rsid w:val="00F0506C"/>
    <w:rsid w:val="00F052BF"/>
    <w:rsid w:val="00F05EB5"/>
    <w:rsid w:val="00F16833"/>
    <w:rsid w:val="00F24DDC"/>
    <w:rsid w:val="00F26535"/>
    <w:rsid w:val="00F265E6"/>
    <w:rsid w:val="00F26665"/>
    <w:rsid w:val="00F3123D"/>
    <w:rsid w:val="00F3373A"/>
    <w:rsid w:val="00F34595"/>
    <w:rsid w:val="00F37DCD"/>
    <w:rsid w:val="00F425A7"/>
    <w:rsid w:val="00F43716"/>
    <w:rsid w:val="00F44133"/>
    <w:rsid w:val="00F441FD"/>
    <w:rsid w:val="00F448C1"/>
    <w:rsid w:val="00F4775C"/>
    <w:rsid w:val="00F510DD"/>
    <w:rsid w:val="00F52585"/>
    <w:rsid w:val="00F548E7"/>
    <w:rsid w:val="00F559B1"/>
    <w:rsid w:val="00F715FA"/>
    <w:rsid w:val="00F731CD"/>
    <w:rsid w:val="00F75A6D"/>
    <w:rsid w:val="00F852F8"/>
    <w:rsid w:val="00F96D58"/>
    <w:rsid w:val="00FA3895"/>
    <w:rsid w:val="00FA530B"/>
    <w:rsid w:val="00FA6D61"/>
    <w:rsid w:val="00FB7019"/>
    <w:rsid w:val="00FC497B"/>
    <w:rsid w:val="00FC6BA7"/>
    <w:rsid w:val="00FC772B"/>
    <w:rsid w:val="00FD1F38"/>
    <w:rsid w:val="00FD28AC"/>
    <w:rsid w:val="00FD3CDA"/>
    <w:rsid w:val="00FF1902"/>
    <w:rsid w:val="00FF2472"/>
    <w:rsid w:val="00FF2D39"/>
    <w:rsid w:val="00FF7A4C"/>
    <w:rsid w:val="03B93266"/>
    <w:rsid w:val="066F5984"/>
    <w:rsid w:val="0675375E"/>
    <w:rsid w:val="07BB3C14"/>
    <w:rsid w:val="09D343ED"/>
    <w:rsid w:val="0B2930B2"/>
    <w:rsid w:val="1131210F"/>
    <w:rsid w:val="14D75123"/>
    <w:rsid w:val="1D060247"/>
    <w:rsid w:val="1EEC7187"/>
    <w:rsid w:val="206443D1"/>
    <w:rsid w:val="20875DD8"/>
    <w:rsid w:val="21152CC0"/>
    <w:rsid w:val="26A8475D"/>
    <w:rsid w:val="2A2B0A96"/>
    <w:rsid w:val="33CB3DD0"/>
    <w:rsid w:val="35C30ABC"/>
    <w:rsid w:val="385A0375"/>
    <w:rsid w:val="395741C9"/>
    <w:rsid w:val="3C8202EF"/>
    <w:rsid w:val="3D6254F0"/>
    <w:rsid w:val="3DF576F5"/>
    <w:rsid w:val="43B6319C"/>
    <w:rsid w:val="44E629C6"/>
    <w:rsid w:val="463E4981"/>
    <w:rsid w:val="47790DC9"/>
    <w:rsid w:val="47F36CBE"/>
    <w:rsid w:val="4B4A0E3E"/>
    <w:rsid w:val="4FB961BD"/>
    <w:rsid w:val="500D5C40"/>
    <w:rsid w:val="50F67EEF"/>
    <w:rsid w:val="52560DA9"/>
    <w:rsid w:val="528629E3"/>
    <w:rsid w:val="53850E35"/>
    <w:rsid w:val="53B968B0"/>
    <w:rsid w:val="541109F4"/>
    <w:rsid w:val="5532338C"/>
    <w:rsid w:val="55794C66"/>
    <w:rsid w:val="576A7EF5"/>
    <w:rsid w:val="58403375"/>
    <w:rsid w:val="5C8127BB"/>
    <w:rsid w:val="649F0941"/>
    <w:rsid w:val="64C174F6"/>
    <w:rsid w:val="673E55D3"/>
    <w:rsid w:val="683A27EB"/>
    <w:rsid w:val="69A840E8"/>
    <w:rsid w:val="6BFA4EBF"/>
    <w:rsid w:val="6D59342D"/>
    <w:rsid w:val="70E73D12"/>
    <w:rsid w:val="75B94468"/>
    <w:rsid w:val="760762DD"/>
    <w:rsid w:val="77F92890"/>
    <w:rsid w:val="7A3F7F6D"/>
    <w:rsid w:val="7C6C5943"/>
    <w:rsid w:val="7DB66CC2"/>
    <w:rsid w:val="7DBE7F3F"/>
    <w:rsid w:val="7E2D1771"/>
    <w:rsid w:val="7F527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5"/>
    <w:unhideWhenUsed/>
    <w:uiPriority w:val="99"/>
    <w:pPr>
      <w:jc w:val="left"/>
    </w:pPr>
  </w:style>
  <w:style w:type="paragraph" w:styleId="3">
    <w:name w:val="Balloon Text"/>
    <w:basedOn w:val="1"/>
    <w:link w:val="10"/>
    <w:uiPriority w:val="0"/>
    <w:rPr>
      <w:kern w:val="0"/>
      <w:sz w:val="18"/>
      <w:szCs w:val="18"/>
    </w:rPr>
  </w:style>
  <w:style w:type="paragraph" w:styleId="4">
    <w:name w:val="footer"/>
    <w:basedOn w:val="1"/>
    <w:link w:val="11"/>
    <w:qFormat/>
    <w:uiPriority w:val="0"/>
    <w:pPr>
      <w:tabs>
        <w:tab w:val="center" w:pos="4153"/>
        <w:tab w:val="right" w:pos="8306"/>
      </w:tabs>
      <w:snapToGrid w:val="0"/>
      <w:jc w:val="left"/>
    </w:pPr>
    <w:rPr>
      <w:kern w:val="0"/>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annotation subject"/>
    <w:basedOn w:val="2"/>
    <w:next w:val="2"/>
    <w:link w:val="16"/>
    <w:unhideWhenUsed/>
    <w:uiPriority w:val="99"/>
    <w:rPr>
      <w:b/>
      <w:bCs/>
    </w:rPr>
  </w:style>
  <w:style w:type="character" w:styleId="9">
    <w:name w:val="annotation reference"/>
    <w:unhideWhenUsed/>
    <w:qFormat/>
    <w:uiPriority w:val="99"/>
    <w:rPr>
      <w:rFonts w:ascii="Calibri" w:hAnsi="Calibri" w:eastAsia="宋体" w:cs="Times New Roman"/>
      <w:sz w:val="21"/>
      <w:szCs w:val="21"/>
    </w:rPr>
  </w:style>
  <w:style w:type="character" w:customStyle="1" w:styleId="10">
    <w:name w:val="批注框文本 Char"/>
    <w:link w:val="3"/>
    <w:uiPriority w:val="0"/>
    <w:rPr>
      <w:rFonts w:ascii="Calibri" w:hAnsi="Calibri" w:eastAsia="宋体" w:cs="Times New Roman"/>
      <w:sz w:val="18"/>
      <w:szCs w:val="18"/>
    </w:rPr>
  </w:style>
  <w:style w:type="character" w:customStyle="1" w:styleId="11">
    <w:name w:val="页脚 Char"/>
    <w:link w:val="4"/>
    <w:uiPriority w:val="0"/>
    <w:rPr>
      <w:rFonts w:ascii="Calibri" w:hAnsi="Calibri" w:eastAsia="宋体" w:cs="Times New Roman"/>
      <w:sz w:val="18"/>
      <w:szCs w:val="18"/>
    </w:rPr>
  </w:style>
  <w:style w:type="character" w:customStyle="1" w:styleId="12">
    <w:name w:val="页眉 Char"/>
    <w:link w:val="5"/>
    <w:qFormat/>
    <w:uiPriority w:val="0"/>
    <w:rPr>
      <w:rFonts w:ascii="Calibri" w:hAnsi="Calibri" w:eastAsia="宋体" w:cs="Times New Roman"/>
      <w:sz w:val="18"/>
      <w:szCs w:val="18"/>
    </w:rPr>
  </w:style>
  <w:style w:type="paragraph" w:customStyle="1" w:styleId="13">
    <w:name w:val="列出段落1"/>
    <w:basedOn w:val="1"/>
    <w:qFormat/>
    <w:uiPriority w:val="0"/>
    <w:pPr>
      <w:ind w:firstLine="420" w:firstLineChars="200"/>
    </w:pPr>
  </w:style>
  <w:style w:type="paragraph" w:customStyle="1" w:styleId="14">
    <w:name w:val="列出段落2"/>
    <w:basedOn w:val="1"/>
    <w:qFormat/>
    <w:uiPriority w:val="0"/>
    <w:pPr>
      <w:ind w:firstLine="420" w:firstLineChars="200"/>
    </w:pPr>
  </w:style>
  <w:style w:type="character" w:customStyle="1" w:styleId="15">
    <w:name w:val="批注文字 Char"/>
    <w:link w:val="2"/>
    <w:semiHidden/>
    <w:qFormat/>
    <w:uiPriority w:val="99"/>
    <w:rPr>
      <w:rFonts w:ascii="Calibri" w:hAnsi="Calibri" w:eastAsia="宋体" w:cs="Times New Roman"/>
      <w:kern w:val="2"/>
      <w:sz w:val="21"/>
      <w:szCs w:val="22"/>
    </w:rPr>
  </w:style>
  <w:style w:type="character" w:customStyle="1" w:styleId="16">
    <w:name w:val="批注主题 Char"/>
    <w:link w:val="6"/>
    <w:semiHidden/>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86A0F-006E-458E-9C28-CA9429BB40BB}">
  <ds:schemaRefs/>
</ds:datastoreItem>
</file>

<file path=docProps/app.xml><?xml version="1.0" encoding="utf-8"?>
<Properties xmlns="http://schemas.openxmlformats.org/officeDocument/2006/extended-properties" xmlns:vt="http://schemas.openxmlformats.org/officeDocument/2006/docPropsVTypes">
  <Template>Normal</Template>
  <Company>杭州市财政局</Company>
  <Pages>4</Pages>
  <Words>1316</Words>
  <Characters>1345</Characters>
  <Lines>10</Lines>
  <Paragraphs>2</Paragraphs>
  <TotalTime>1</TotalTime>
  <ScaleCrop>false</ScaleCrop>
  <LinksUpToDate>false</LinksUpToDate>
  <CharactersWithSpaces>1376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2019-09-01T23:50:00Z</dcterms:created>
  <dc:creator>User</dc:creator>
  <cp:lastModifiedBy>usxik</cp:lastModifiedBy>
  <cp:lastPrinted>2019-08-22T09:58:00Z</cp:lastPrinted>
  <dcterms:modified xsi:type="dcterms:W3CDTF">2022-06-28T02:00:43Z</dcterms:modified>
  <dc:title>政府采购代理机构评价体系建设实施方案</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97217C3D06E5441DAF63C98858BFA240</vt:lpwstr>
  </property>
</Properties>
</file>