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both"/>
        <w:rPr>
          <w:rFonts w:hint="eastAsia" w:ascii="黑体" w:hAnsi="黑体" w:eastAsia="黑体" w:cs="黑体"/>
          <w:b/>
          <w:bCs/>
          <w:color w:val="000000"/>
          <w:kern w:val="0"/>
          <w:sz w:val="28"/>
          <w:szCs w:val="28"/>
          <w:lang w:eastAsia="zh-CN"/>
        </w:rPr>
      </w:pPr>
      <w:r>
        <w:rPr>
          <w:rFonts w:hint="eastAsia" w:ascii="黑体" w:hAnsi="黑体" w:eastAsia="黑体" w:cs="黑体"/>
          <w:b/>
          <w:bCs/>
          <w:color w:val="000000"/>
          <w:kern w:val="0"/>
          <w:sz w:val="28"/>
          <w:szCs w:val="28"/>
          <w:lang w:eastAsia="zh-CN"/>
        </w:rPr>
        <w:t>附件</w:t>
      </w:r>
    </w:p>
    <w:p>
      <w:pPr>
        <w:widowControl/>
        <w:spacing w:line="450" w:lineRule="atLeast"/>
        <w:jc w:val="both"/>
        <w:rPr>
          <w:rFonts w:hint="eastAsia" w:ascii="黑体" w:hAnsi="黑体" w:eastAsia="黑体" w:cs="黑体"/>
          <w:b/>
          <w:bCs/>
          <w:color w:val="000000"/>
          <w:kern w:val="0"/>
          <w:sz w:val="28"/>
          <w:szCs w:val="28"/>
          <w:lang w:eastAsia="zh-CN"/>
        </w:rPr>
      </w:pPr>
    </w:p>
    <w:p>
      <w:pPr>
        <w:widowControl/>
        <w:spacing w:line="450" w:lineRule="atLeast"/>
        <w:ind w:firstLine="883" w:firstLineChars="200"/>
        <w:jc w:val="both"/>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lang w:eastAsia="zh-CN"/>
        </w:rPr>
        <w:t>杭州市</w:t>
      </w:r>
      <w:r>
        <w:rPr>
          <w:rFonts w:hint="eastAsia" w:ascii="黑体" w:hAnsi="黑体" w:eastAsia="黑体" w:cs="黑体"/>
          <w:b/>
          <w:bCs/>
          <w:color w:val="000000"/>
          <w:kern w:val="0"/>
          <w:sz w:val="44"/>
          <w:szCs w:val="44"/>
        </w:rPr>
        <w:t>市级行政事业单位公款竞争性</w:t>
      </w:r>
    </w:p>
    <w:p>
      <w:pPr>
        <w:widowControl/>
        <w:spacing w:line="450" w:lineRule="atLeast"/>
        <w:jc w:val="center"/>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lang w:val="en-US" w:eastAsia="zh-CN"/>
        </w:rPr>
        <w:t xml:space="preserve"> </w:t>
      </w:r>
      <w:r>
        <w:rPr>
          <w:rFonts w:hint="eastAsia" w:ascii="黑体" w:hAnsi="黑体" w:eastAsia="黑体" w:cs="黑体"/>
          <w:b/>
          <w:bCs/>
          <w:color w:val="000000"/>
          <w:kern w:val="0"/>
          <w:sz w:val="44"/>
          <w:szCs w:val="44"/>
        </w:rPr>
        <w:t>存放管理办法 </w:t>
      </w:r>
      <w:r>
        <w:rPr>
          <w:rFonts w:hint="eastAsia" w:ascii="黑体" w:hAnsi="黑体" w:eastAsia="黑体" w:cs="黑体"/>
          <w:b/>
          <w:bCs/>
          <w:color w:val="000000"/>
          <w:kern w:val="0"/>
          <w:sz w:val="44"/>
          <w:szCs w:val="44"/>
          <w:lang w:eastAsia="zh-CN"/>
        </w:rPr>
        <w:t>（征求意见稿）</w:t>
      </w:r>
    </w:p>
    <w:p>
      <w:pPr>
        <w:widowControl/>
        <w:spacing w:line="450" w:lineRule="atLeast"/>
        <w:jc w:val="center"/>
        <w:rPr>
          <w:rFonts w:hint="eastAsia" w:ascii="黑体" w:hAnsi="黑体" w:eastAsia="黑体" w:cs="黑体"/>
          <w:b/>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b w:val="0"/>
          <w:bCs w:val="0"/>
          <w:color w:val="000000"/>
          <w:kern w:val="0"/>
          <w:sz w:val="32"/>
          <w:szCs w:val="32"/>
        </w:rPr>
        <w:t>第一条</w:t>
      </w:r>
      <w:r>
        <w:rPr>
          <w:rFonts w:hint="eastAsia" w:ascii="黑体" w:hAnsi="黑体" w:eastAsia="黑体" w:cs="黑体"/>
          <w:b w:val="0"/>
          <w:bCs w:val="0"/>
          <w:color w:val="000000"/>
          <w:kern w:val="0"/>
          <w:sz w:val="32"/>
          <w:szCs w:val="32"/>
          <w:lang w:val="en-US" w:eastAsia="zh-CN"/>
        </w:rPr>
        <w:t xml:space="preserve"> </w:t>
      </w:r>
      <w:r>
        <w:rPr>
          <w:rFonts w:hint="eastAsia" w:ascii="仿宋_GB2312" w:hAnsi="仿宋_GB2312" w:eastAsia="仿宋_GB2312" w:cs="仿宋_GB2312"/>
          <w:kern w:val="0"/>
          <w:sz w:val="32"/>
          <w:szCs w:val="32"/>
        </w:rPr>
        <w:t>为规范</w:t>
      </w:r>
      <w:r>
        <w:rPr>
          <w:rFonts w:hint="eastAsia" w:ascii="仿宋_GB2312" w:hAnsi="仿宋_GB2312" w:eastAsia="仿宋_GB2312" w:cs="仿宋_GB2312"/>
          <w:kern w:val="0"/>
          <w:sz w:val="32"/>
          <w:szCs w:val="32"/>
          <w:lang w:eastAsia="zh-CN"/>
        </w:rPr>
        <w:t>公款竞争性存放管理</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确保</w:t>
      </w:r>
      <w:r>
        <w:rPr>
          <w:rFonts w:hint="eastAsia" w:ascii="仿宋_GB2312" w:hAnsi="仿宋_GB2312" w:eastAsia="仿宋_GB2312" w:cs="仿宋_GB2312"/>
          <w:kern w:val="0"/>
          <w:sz w:val="32"/>
          <w:szCs w:val="32"/>
        </w:rPr>
        <w:t>资金效益，防止利益冲突和利益输送，根据有关法律法规规章和《中共浙江省委办公厅</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浙江省人民政府办公厅印发&lt;关于防止领导干部在公款存放方面发生利益冲突和利益输送的办法&gt;的通知》（浙委办发〔2015〕8 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《财政部关于进一步加强财政部门和预算单位资金存放管理的指导意见》(财库〔2017〕76号)、《浙江省省级预算单位银行账户管理暂行办法》（浙财预执〔2015〕16号）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《浙江省省级行政事业单位公款竞争性存放管理办法》（</w:t>
      </w:r>
      <w:r>
        <w:rPr>
          <w:rFonts w:hint="eastAsia" w:ascii="仿宋_GB2312" w:hAnsi="仿宋_GB2312" w:eastAsia="仿宋_GB2312" w:cs="仿宋_GB2312"/>
          <w:kern w:val="0"/>
          <w:sz w:val="32"/>
          <w:szCs w:val="32"/>
          <w:lang w:eastAsia="zh-CN"/>
        </w:rPr>
        <w:t>浙财预执</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号）等有关</w:t>
      </w:r>
      <w:r>
        <w:rPr>
          <w:rFonts w:hint="eastAsia" w:ascii="仿宋_GB2312" w:hAnsi="仿宋_GB2312" w:eastAsia="仿宋_GB2312" w:cs="仿宋_GB2312"/>
          <w:kern w:val="0"/>
          <w:sz w:val="32"/>
          <w:szCs w:val="32"/>
          <w:lang w:eastAsia="zh-CN"/>
        </w:rPr>
        <w:t>规定，结合我市实际，</w:t>
      </w:r>
      <w:r>
        <w:rPr>
          <w:rFonts w:hint="eastAsia" w:ascii="仿宋_GB2312" w:hAnsi="仿宋_GB2312" w:eastAsia="仿宋_GB2312" w:cs="仿宋_GB2312"/>
          <w:kern w:val="0"/>
          <w:sz w:val="32"/>
          <w:szCs w:val="32"/>
        </w:rPr>
        <w:t>制定本办法。</w:t>
      </w:r>
      <w:r>
        <w:rPr>
          <w:rFonts w:hint="eastAsia" w:ascii="仿宋_GB2312" w:hAnsi="仿宋_GB2312" w:eastAsia="仿宋_GB2312" w:cs="仿宋_GB2312"/>
          <w:color w:val="000000"/>
          <w:kern w:val="0"/>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FF0000"/>
          <w:kern w:val="0"/>
          <w:sz w:val="32"/>
          <w:szCs w:val="32"/>
        </w:rPr>
      </w:pPr>
      <w:r>
        <w:rPr>
          <w:rFonts w:hint="eastAsia" w:ascii="黑体" w:hAnsi="黑体" w:eastAsia="黑体" w:cs="黑体"/>
          <w:color w:val="000000"/>
          <w:kern w:val="0"/>
          <w:sz w:val="32"/>
          <w:szCs w:val="32"/>
        </w:rPr>
        <w:t>第二条</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w:t>
      </w:r>
      <w:r>
        <w:rPr>
          <w:rFonts w:hint="eastAsia" w:ascii="仿宋_GB2312" w:hAnsi="仿宋_GB2312" w:eastAsia="仿宋_GB2312" w:cs="仿宋_GB2312"/>
          <w:color w:val="000000" w:themeColor="text1"/>
          <w:kern w:val="0"/>
          <w:sz w:val="32"/>
          <w:szCs w:val="32"/>
          <w14:textFill>
            <w14:solidFill>
              <w14:schemeClr w14:val="tx1"/>
            </w14:solidFill>
          </w14:textFill>
        </w:rPr>
        <w:t>办法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适用于市</w:t>
      </w:r>
      <w:r>
        <w:rPr>
          <w:rFonts w:hint="eastAsia" w:ascii="仿宋_GB2312" w:hAnsi="仿宋_GB2312" w:eastAsia="仿宋_GB2312" w:cs="仿宋_GB2312"/>
          <w:color w:val="000000" w:themeColor="text1"/>
          <w:kern w:val="0"/>
          <w:sz w:val="32"/>
          <w:szCs w:val="32"/>
          <w14:textFill>
            <w14:solidFill>
              <w14:schemeClr w14:val="tx1"/>
            </w14:solidFill>
          </w14:textFill>
        </w:rPr>
        <w:t>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机关（含党委、人大、政府、政协、监委、法院、检察院、各民主党派和工商联机关、人民团体机关等），市级党委政府直属事业单位或部门（单位）</w:t>
      </w:r>
      <w:r>
        <w:rPr>
          <w:rFonts w:hint="eastAsia" w:ascii="仿宋_GB2312" w:hAnsi="仿宋_GB2312" w:eastAsia="仿宋_GB2312" w:cs="仿宋_GB2312"/>
          <w:color w:val="000000" w:themeColor="text1"/>
          <w:kern w:val="0"/>
          <w:sz w:val="32"/>
          <w:szCs w:val="32"/>
          <w14:textFill>
            <w14:solidFill>
              <w14:schemeClr w14:val="tx1"/>
            </w14:solidFill>
          </w14:textFill>
        </w:rPr>
        <w:t>所属事业单位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政府授权代行政府职能的其他机构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（以下简称市级行政事业单位）公款的竞争性存放。</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黑体" w:hAnsi="黑体" w:eastAsia="黑体" w:cs="黑体"/>
          <w:color w:val="000000"/>
          <w:kern w:val="0"/>
          <w:sz w:val="32"/>
          <w:szCs w:val="32"/>
          <w:lang w:eastAsia="zh-CN"/>
        </w:rPr>
        <w:t>第三条</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kern w:val="0"/>
          <w:sz w:val="32"/>
          <w:szCs w:val="32"/>
          <w:lang w:eastAsia="zh-CN"/>
        </w:rPr>
        <w:t>市级</w:t>
      </w:r>
      <w:r>
        <w:rPr>
          <w:rFonts w:hint="eastAsia" w:ascii="仿宋_GB2312" w:hAnsi="仿宋_GB2312" w:eastAsia="仿宋_GB2312" w:cs="仿宋_GB2312"/>
          <w:kern w:val="0"/>
          <w:sz w:val="32"/>
          <w:szCs w:val="32"/>
        </w:rPr>
        <w:t>行政事业单位</w:t>
      </w:r>
      <w:r>
        <w:rPr>
          <w:rFonts w:hint="eastAsia" w:ascii="仿宋_GB2312" w:hAnsi="仿宋_GB2312" w:eastAsia="仿宋_GB2312" w:cs="仿宋_GB2312"/>
          <w:kern w:val="0"/>
          <w:sz w:val="32"/>
          <w:szCs w:val="32"/>
          <w:lang w:eastAsia="zh-CN"/>
        </w:rPr>
        <w:t>公款</w:t>
      </w:r>
      <w:r>
        <w:rPr>
          <w:rFonts w:hint="eastAsia" w:ascii="仿宋_GB2312" w:hAnsi="仿宋_GB2312" w:eastAsia="仿宋_GB2312" w:cs="仿宋_GB2312"/>
          <w:kern w:val="0"/>
          <w:sz w:val="32"/>
          <w:szCs w:val="32"/>
        </w:rPr>
        <w:t>竞争性存放适用于</w:t>
      </w:r>
      <w:r>
        <w:rPr>
          <w:rFonts w:hint="eastAsia" w:ascii="仿宋_GB2312" w:hAnsi="仿宋_GB2312" w:eastAsia="仿宋_GB2312" w:cs="仿宋_GB2312"/>
          <w:kern w:val="0"/>
          <w:sz w:val="32"/>
          <w:szCs w:val="32"/>
          <w:lang w:eastAsia="zh-CN"/>
        </w:rPr>
        <w:t>市级</w:t>
      </w:r>
      <w:r>
        <w:rPr>
          <w:rFonts w:hint="eastAsia" w:ascii="仿宋_GB2312" w:hAnsi="仿宋_GB2312" w:eastAsia="仿宋_GB2312" w:cs="仿宋_GB2312"/>
          <w:kern w:val="0"/>
          <w:sz w:val="32"/>
          <w:szCs w:val="32"/>
        </w:rPr>
        <w:t>行政事业单位取得的上级补助资金、自有资金和代管资金，以及会费、基金、捐赠款等</w:t>
      </w:r>
      <w:r>
        <w:rPr>
          <w:rFonts w:hint="eastAsia" w:ascii="仿宋_GB2312" w:hAnsi="仿宋_GB2312" w:eastAsia="仿宋_GB2312" w:cs="仿宋_GB2312"/>
          <w:kern w:val="0"/>
          <w:sz w:val="32"/>
          <w:szCs w:val="32"/>
          <w:lang w:eastAsia="zh-CN"/>
        </w:rPr>
        <w:t>非财政补助收入资金</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市财政局直接管理的财政专户资金和由财政部门代为管理的单位资金按照财政专户资金存放有关规定执行。</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i w:val="0"/>
          <w:caps w:val="0"/>
          <w:color w:val="333333"/>
          <w:spacing w:val="0"/>
          <w:sz w:val="32"/>
          <w:szCs w:val="32"/>
          <w:lang w:val="en-US" w:eastAsia="zh-CN"/>
        </w:rPr>
        <w:t xml:space="preserve">第四条 </w:t>
      </w:r>
      <w:r>
        <w:rPr>
          <w:rFonts w:hint="eastAsia" w:ascii="仿宋_GB2312" w:hAnsi="仿宋_GB2312" w:eastAsia="仿宋_GB2312" w:cs="仿宋_GB2312"/>
          <w:color w:val="000000"/>
          <w:kern w:val="0"/>
          <w:sz w:val="32"/>
          <w:szCs w:val="32"/>
          <w:lang w:val="en-US" w:eastAsia="zh-CN"/>
        </w:rPr>
        <w:t>市</w:t>
      </w:r>
      <w:r>
        <w:rPr>
          <w:rFonts w:hint="eastAsia" w:ascii="仿宋_GB2312" w:hAnsi="仿宋_GB2312" w:eastAsia="仿宋_GB2312" w:cs="仿宋_GB2312"/>
          <w:sz w:val="32"/>
          <w:szCs w:val="32"/>
          <w:lang w:eastAsia="zh-CN"/>
        </w:rPr>
        <w:t>级预算单</w:t>
      </w:r>
      <w:r>
        <w:rPr>
          <w:rFonts w:hint="eastAsia" w:ascii="仿宋_GB2312" w:hAnsi="仿宋_GB2312" w:eastAsia="仿宋_GB2312" w:cs="仿宋_GB2312"/>
          <w:color w:val="000000"/>
          <w:kern w:val="0"/>
          <w:sz w:val="32"/>
          <w:szCs w:val="32"/>
          <w:lang w:val="en-US" w:eastAsia="zh-CN" w:bidi="ar-SA"/>
        </w:rPr>
        <w:t>位（不包括列入预算管理的企业）</w:t>
      </w:r>
      <w:r>
        <w:rPr>
          <w:rFonts w:hint="eastAsia" w:ascii="仿宋_GB2312" w:hAnsi="仿宋_GB2312" w:eastAsia="仿宋_GB2312" w:cs="仿宋_GB2312"/>
          <w:sz w:val="32"/>
          <w:szCs w:val="32"/>
          <w:lang w:eastAsia="zh-CN"/>
        </w:rPr>
        <w:t>不得采取购买理财产品的方式存放资金。</w:t>
      </w:r>
    </w:p>
    <w:p>
      <w:pPr>
        <w:pStyle w:val="12"/>
        <w:keepNext w:val="0"/>
        <w:keepLines w:val="0"/>
        <w:pageBreakBefore w:val="0"/>
        <w:numPr>
          <w:ilvl w:val="0"/>
          <w:numId w:val="0"/>
        </w:numPr>
        <w:kinsoku/>
        <w:overflowPunct/>
        <w:topLinePunct w:val="0"/>
        <w:autoSpaceDE/>
        <w:autoSpaceDN/>
        <w:bidi w:val="0"/>
        <w:adjustRightInd/>
        <w:snapToGrid/>
        <w:spacing w:before="0" w:beforeLines="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i w:val="0"/>
          <w:caps w:val="0"/>
          <w:color w:val="333333"/>
          <w:spacing w:val="0"/>
          <w:kern w:val="2"/>
          <w:sz w:val="32"/>
          <w:szCs w:val="32"/>
          <w:lang w:val="en-US" w:eastAsia="zh-CN" w:bidi="ar-SA"/>
        </w:rPr>
        <w:t xml:space="preserve">第五条 </w:t>
      </w:r>
      <w:r>
        <w:rPr>
          <w:rFonts w:hint="eastAsia" w:ascii="仿宋_GB2312" w:hAnsi="仿宋_GB2312" w:eastAsia="仿宋_GB2312" w:cs="仿宋_GB2312"/>
          <w:sz w:val="32"/>
          <w:szCs w:val="32"/>
          <w:lang w:eastAsia="zh-CN"/>
        </w:rPr>
        <w:t>市级行政事业单位不得将按有关规定收取的各类行政性收费、罚没收入等应缴财政款转为定期存款。市级行政事业单位取得的财政补助</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sz w:val="32"/>
          <w:szCs w:val="32"/>
          <w:lang w:eastAsia="zh-CN"/>
        </w:rPr>
        <w:t>应严格执行盘活财政存量资金有关规定，不得转存定期存款。</w:t>
      </w:r>
    </w:p>
    <w:p>
      <w:pPr>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第六条 </w:t>
      </w:r>
      <w:r>
        <w:rPr>
          <w:rFonts w:hint="eastAsia" w:ascii="仿宋_GB2312" w:hAnsi="仿宋_GB2312" w:eastAsia="仿宋_GB2312" w:cs="仿宋_GB2312"/>
          <w:color w:val="000000"/>
          <w:kern w:val="0"/>
          <w:sz w:val="32"/>
          <w:szCs w:val="32"/>
          <w:lang w:val="en-US" w:eastAsia="zh-CN"/>
        </w:rPr>
        <w:t>市级行政事业单位公款有以下情形之一的，可以不采取竞争性方式： </w:t>
      </w:r>
    </w:p>
    <w:p>
      <w:pPr>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（一）单一账户闲置资金量小</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于500万元的</w:t>
      </w:r>
      <w:r>
        <w:rPr>
          <w:rFonts w:hint="eastAsia" w:ascii="仿宋_GB2312" w:hAnsi="仿宋_GB2312" w:eastAsia="仿宋_GB2312" w:cs="仿宋_GB2312"/>
          <w:color w:val="000000"/>
          <w:kern w:val="0"/>
          <w:sz w:val="32"/>
          <w:szCs w:val="32"/>
          <w:lang w:val="en-US" w:eastAsia="zh-CN"/>
        </w:rPr>
        <w:t>； </w:t>
      </w:r>
    </w:p>
    <w:p>
      <w:pPr>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（二）资金闲置时间少于3个月的；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pacing w:val="8"/>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rPr>
        <w:t>（三）开户银行通过竞争性方式确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定的，自开户银行确定之日起5年内，利率符合国家政策要求，且定期存放的存款利率不低于市级行政事业单位在</w:t>
      </w:r>
      <w:r>
        <w:rPr>
          <w:rFonts w:hint="eastAsia" w:ascii="仿宋_GB2312" w:hAnsi="仿宋_GB2312" w:eastAsia="仿宋_GB2312" w:cs="仿宋_GB2312"/>
          <w:color w:val="000000" w:themeColor="text1"/>
          <w:spacing w:val="-20"/>
          <w:kern w:val="0"/>
          <w:sz w:val="32"/>
          <w:szCs w:val="32"/>
          <w:lang w:val="en-US" w:eastAsia="zh-CN"/>
          <w14:textFill>
            <w14:solidFill>
              <w14:schemeClr w14:val="tx1"/>
            </w14:solidFill>
          </w14:textFill>
        </w:rPr>
        <w:t>“浙江政府采购网”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上公布的</w:t>
      </w:r>
      <w:r>
        <w:rPr>
          <w:rFonts w:hint="eastAsia" w:ascii="仿宋_GB2312" w:hAnsi="仿宋_GB2312" w:eastAsia="仿宋_GB2312" w:cs="仿宋_GB2312"/>
          <w:bCs/>
          <w:color w:val="000000" w:themeColor="text1"/>
          <w:spacing w:val="8"/>
          <w:kern w:val="0"/>
          <w:sz w:val="32"/>
          <w:szCs w:val="32"/>
          <w:lang w:val="en-US" w:eastAsia="zh-CN" w:bidi="ar-SA"/>
          <w14:textFill>
            <w14:solidFill>
              <w14:schemeClr w14:val="tx1"/>
            </w14:solidFill>
          </w14:textFill>
        </w:rPr>
        <w:t>同类银行最近同期限中标利率的；</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（四）法律法规规章和国家有关文件另有明确规定的； </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（五）经市政府批准可以不实行竞争性存放的其他情形。 </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闲置资金是指各市级行政事业单位在确保正常支付前提下暂时闲置、可用于定期存放的资金。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不采取招投标方式存放的资金，应存放于原开户银行，不得跨行转存。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宋体" w:eastAsia="仿宋_GB2312" w:cstheme="minorBidi"/>
          <w:color w:val="000000"/>
          <w:kern w:val="2"/>
          <w:sz w:val="32"/>
          <w:szCs w:val="32"/>
          <w:lang w:val="en-US" w:eastAsia="zh-CN" w:bidi="ar-SA"/>
        </w:rPr>
      </w:pPr>
      <w:r>
        <w:rPr>
          <w:rFonts w:hint="eastAsia" w:ascii="黑体" w:hAnsi="黑体" w:eastAsia="黑体" w:cs="黑体"/>
          <w:color w:val="000000"/>
          <w:kern w:val="0"/>
          <w:sz w:val="32"/>
          <w:szCs w:val="32"/>
          <w:lang w:val="en-US" w:eastAsia="zh-CN" w:bidi="ar-SA"/>
        </w:rPr>
        <w:t>第七条</w:t>
      </w:r>
      <w:r>
        <w:rPr>
          <w:rFonts w:hint="eastAsia" w:ascii="仿宋_GB2312" w:hAnsi="宋体" w:eastAsia="仿宋_GB2312" w:cstheme="minorBidi"/>
          <w:color w:val="000000"/>
          <w:kern w:val="2"/>
          <w:sz w:val="32"/>
          <w:szCs w:val="32"/>
          <w:lang w:val="en-US" w:eastAsia="zh-CN" w:bidi="ar-SA"/>
        </w:rPr>
        <w:t xml:space="preserve"> 市级行政事业单位开展公款竞争性存放应遵循以下原则：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both"/>
        <w:textAlignment w:val="auto"/>
        <w:outlineLvl w:val="9"/>
        <w:rPr>
          <w:rFonts w:hint="eastAsia" w:ascii="仿宋_GB2312" w:hAnsi="宋体" w:eastAsia="仿宋_GB2312" w:cstheme="minorBidi"/>
          <w:color w:val="000000"/>
          <w:kern w:val="2"/>
          <w:sz w:val="32"/>
          <w:szCs w:val="32"/>
          <w:lang w:val="en-US" w:eastAsia="zh-CN" w:bidi="ar-SA"/>
        </w:rPr>
      </w:pPr>
      <w:r>
        <w:rPr>
          <w:rFonts w:hint="eastAsia" w:ascii="仿宋_GB2312" w:hAnsi="宋体" w:eastAsia="仿宋_GB2312" w:cstheme="minorBidi"/>
          <w:color w:val="000000"/>
          <w:kern w:val="2"/>
          <w:sz w:val="32"/>
          <w:szCs w:val="32"/>
          <w:lang w:val="en-US" w:eastAsia="zh-CN" w:bidi="ar-SA"/>
        </w:rPr>
        <w:t>（一）公开、公平、公正原则。公款竞争性存放应公开、公平、公正进行，防范廉政风险。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both"/>
        <w:textAlignment w:val="auto"/>
        <w:outlineLvl w:val="9"/>
        <w:rPr>
          <w:rFonts w:hint="eastAsia" w:ascii="仿宋_GB2312" w:hAnsi="宋体" w:eastAsia="仿宋_GB2312" w:cstheme="minorBidi"/>
          <w:color w:val="000000"/>
          <w:kern w:val="2"/>
          <w:sz w:val="32"/>
          <w:szCs w:val="32"/>
          <w:lang w:val="en-US" w:eastAsia="zh-CN" w:bidi="ar-SA"/>
        </w:rPr>
      </w:pPr>
      <w:r>
        <w:rPr>
          <w:rFonts w:hint="eastAsia" w:ascii="仿宋_GB2312" w:hAnsi="宋体" w:eastAsia="仿宋_GB2312" w:cstheme="minorBidi"/>
          <w:color w:val="000000"/>
          <w:kern w:val="2"/>
          <w:sz w:val="32"/>
          <w:szCs w:val="32"/>
          <w:lang w:val="en-US" w:eastAsia="zh-CN" w:bidi="ar-SA"/>
        </w:rPr>
        <w:t>（二）安全性、流动性、收益性相统一原则。科学测算现金流量，在确保单位资金安全和日常支付流动性需求的前提下，实现资金保值增值。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第八条 </w:t>
      </w:r>
      <w:r>
        <w:rPr>
          <w:rFonts w:hint="eastAsia" w:ascii="仿宋_GB2312" w:hAnsi="仿宋_GB2312" w:eastAsia="仿宋_GB2312" w:cs="仿宋_GB2312"/>
          <w:color w:val="000000"/>
          <w:kern w:val="0"/>
          <w:sz w:val="32"/>
          <w:szCs w:val="32"/>
          <w:lang w:val="en-US" w:eastAsia="zh-CN"/>
        </w:rPr>
        <w:t>市级行政事业单位公款竞争性存放原则上由各市级主管部门自行或委托</w:t>
      </w:r>
      <w:r>
        <w:rPr>
          <w:rFonts w:hint="eastAsia" w:ascii="仿宋_GB2312" w:hAnsi="仿宋_GB2312" w:eastAsia="仿宋_GB2312" w:cs="仿宋_GB2312"/>
          <w:b w:val="0"/>
          <w:bCs w:val="0"/>
          <w:sz w:val="32"/>
          <w:szCs w:val="32"/>
          <w:lang w:val="en-US" w:eastAsia="zh-CN"/>
        </w:rPr>
        <w:t>市公共资源交易中心、</w:t>
      </w:r>
      <w:r>
        <w:rPr>
          <w:rFonts w:hint="eastAsia" w:ascii="仿宋_GB2312" w:hAnsi="仿宋_GB2312" w:eastAsia="仿宋_GB2312" w:cs="仿宋_GB2312"/>
          <w:color w:val="000000"/>
          <w:kern w:val="0"/>
          <w:sz w:val="32"/>
          <w:szCs w:val="32"/>
          <w:lang w:val="en-US" w:eastAsia="zh-CN"/>
        </w:rPr>
        <w:t>具有资质的社会中介机构（以下简称中介机构）统一开展招标，下属单位依据招标结果办理资金存放。下属单位具备招标能力的，经市级主管部门同意后也可自行组织实施本单位公款竞争性存放招标。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color w:val="auto"/>
          <w:sz w:val="32"/>
          <w:szCs w:val="32"/>
          <w:lang w:val="en-US" w:eastAsia="zh-CN"/>
        </w:rPr>
        <w:t xml:space="preserve">第九条 </w:t>
      </w:r>
      <w:r>
        <w:rPr>
          <w:rFonts w:hint="eastAsia" w:ascii="仿宋_GB2312" w:hAnsi="仿宋_GB2312" w:eastAsia="仿宋_GB2312" w:cs="仿宋_GB2312"/>
          <w:sz w:val="32"/>
          <w:szCs w:val="32"/>
          <w:lang w:val="en-US" w:eastAsia="zh-CN"/>
        </w:rPr>
        <w:t>市级行政事业单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位委托中介机构开展公款竞争性存放招标，应当与中介机构签订委托代理协议，明确委托内容、代理权限和范围、双方权利义务、档案保存</w:t>
      </w:r>
      <w:r>
        <w:rPr>
          <w:rFonts w:hint="eastAsia" w:ascii="仿宋_GB2312" w:hAnsi="仿宋_GB2312" w:eastAsia="仿宋_GB2312" w:cs="仿宋_GB2312"/>
          <w:sz w:val="32"/>
          <w:szCs w:val="32"/>
          <w:lang w:val="en-US" w:eastAsia="zh-CN"/>
        </w:rPr>
        <w:t>、代理费用收取方式及标准、委托代理期限、协议变更和解除、违约责任等相关事项。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第十条</w:t>
      </w:r>
      <w:r>
        <w:rPr>
          <w:rFonts w:hint="eastAsia" w:ascii="黑体" w:hAnsi="黑体" w:eastAsia="黑体" w:cs="黑体"/>
          <w:color w:val="auto"/>
          <w:kern w:val="2"/>
          <w:sz w:val="32"/>
          <w:szCs w:val="32"/>
          <w:lang w:val="en-US" w:eastAsia="zh-CN" w:bidi="ar-SA"/>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中介机构应当在招标文件中明示代理费用收取方式及标准，收费标准应当符合国家有关规定。本办法所称代理费用是指中介机构接受招标单位委托从事编制招标文件、审查</w:t>
      </w:r>
      <w:r>
        <w:rPr>
          <w:rFonts w:hint="eastAsia" w:ascii="仿宋_GB2312" w:hAnsi="仿宋_GB2312" w:eastAsia="仿宋_GB2312" w:cs="仿宋_GB2312"/>
          <w:kern w:val="2"/>
          <w:sz w:val="32"/>
          <w:szCs w:val="32"/>
          <w:lang w:val="en-US" w:eastAsia="zh-CN" w:bidi="ar-SA"/>
        </w:rPr>
        <w:t>投标人资格，组织开标、评标、定标、发布中标结果等业务所收取的费用。除代理费用外，不得以保证金、招标文件费用、中标服务费等名义额外收取费用，代理费用不得与公款竞争性存放招标规模挂钩。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val="0"/>
          <w:bCs w:val="0"/>
          <w:color w:val="000000"/>
          <w:kern w:val="0"/>
          <w:sz w:val="32"/>
          <w:szCs w:val="32"/>
          <w:lang w:val="en-US" w:eastAsia="zh-CN"/>
        </w:rPr>
        <w:t xml:space="preserve">第十一条 </w:t>
      </w:r>
      <w:r>
        <w:rPr>
          <w:rFonts w:hint="eastAsia" w:ascii="仿宋_GB2312" w:hAnsi="仿宋_GB2312" w:eastAsia="仿宋_GB2312" w:cs="仿宋_GB2312"/>
          <w:color w:val="000000"/>
          <w:kern w:val="0"/>
          <w:sz w:val="32"/>
          <w:szCs w:val="32"/>
          <w:lang w:val="en-US" w:eastAsia="zh-CN"/>
        </w:rPr>
        <w:t>市</w:t>
      </w:r>
      <w:r>
        <w:rPr>
          <w:rFonts w:hint="eastAsia" w:ascii="仿宋_GB2312" w:hAnsi="仿宋_GB2312" w:eastAsia="仿宋_GB2312" w:cs="仿宋_GB2312"/>
          <w:sz w:val="32"/>
          <w:szCs w:val="32"/>
        </w:rPr>
        <w:t>级行政事业单位应</w:t>
      </w:r>
      <w:r>
        <w:rPr>
          <w:rFonts w:hint="eastAsia" w:ascii="仿宋_GB2312" w:hAnsi="仿宋_GB2312" w:eastAsia="仿宋_GB2312" w:cs="仿宋_GB2312"/>
          <w:sz w:val="32"/>
          <w:szCs w:val="32"/>
          <w:lang w:eastAsia="zh-CN"/>
        </w:rPr>
        <w:t>建立现金流量预测机制，结合本单位现金收支特点，滚动测算未来一定期间的现金流</w:t>
      </w:r>
      <w:r>
        <w:rPr>
          <w:rFonts w:hint="eastAsia" w:ascii="仿宋_GB2312" w:hAnsi="仿宋_GB2312" w:eastAsia="仿宋_GB2312" w:cs="仿宋_GB2312"/>
          <w:color w:val="000000" w:themeColor="text1"/>
          <w:sz w:val="32"/>
          <w:szCs w:val="32"/>
          <w:lang w:eastAsia="zh-CN"/>
          <w14:textFill>
            <w14:solidFill>
              <w14:schemeClr w14:val="tx1"/>
            </w14:solidFill>
          </w14:textFill>
        </w:rPr>
        <w:t>量，并</w:t>
      </w:r>
      <w:r>
        <w:rPr>
          <w:rFonts w:hint="eastAsia" w:ascii="仿宋_GB2312" w:hAnsi="仿宋_GB2312" w:eastAsia="仿宋_GB2312" w:cs="仿宋_GB2312"/>
          <w:color w:val="000000" w:themeColor="text1"/>
          <w:sz w:val="32"/>
          <w:szCs w:val="32"/>
          <w14:textFill>
            <w14:solidFill>
              <w14:schemeClr w14:val="tx1"/>
            </w14:solidFill>
          </w14:textFill>
        </w:rPr>
        <w:t>根据测算的现金流量制订本单位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公款</w:t>
      </w:r>
      <w:r>
        <w:rPr>
          <w:rFonts w:hint="eastAsia" w:ascii="仿宋_GB2312" w:hAnsi="仿宋_GB2312" w:eastAsia="仿宋_GB2312" w:cs="仿宋_GB2312"/>
          <w:color w:val="000000" w:themeColor="text1"/>
          <w:sz w:val="32"/>
          <w:szCs w:val="32"/>
          <w14:textFill>
            <w14:solidFill>
              <w14:schemeClr w14:val="tx1"/>
            </w14:solidFill>
          </w14:textFill>
        </w:rPr>
        <w:t>竞争性存放计划，报送</w:t>
      </w:r>
      <w:r>
        <w:rPr>
          <w:rFonts w:hint="eastAsia" w:ascii="仿宋_GB2312" w:hAnsi="仿宋_GB2312" w:eastAsia="仿宋_GB2312" w:cs="仿宋_GB2312"/>
          <w:color w:val="000000" w:themeColor="text1"/>
          <w:sz w:val="32"/>
          <w:szCs w:val="32"/>
          <w:lang w:eastAsia="zh-CN"/>
          <w14:textFill>
            <w14:solidFill>
              <w14:schemeClr w14:val="tx1"/>
            </w14:solidFill>
          </w14:textFill>
        </w:rPr>
        <w:t>市级</w:t>
      </w:r>
      <w:r>
        <w:rPr>
          <w:rFonts w:hint="eastAsia" w:ascii="仿宋_GB2312" w:hAnsi="仿宋_GB2312" w:eastAsia="仿宋_GB2312" w:cs="仿宋_GB2312"/>
          <w:color w:val="000000" w:themeColor="text1"/>
          <w:sz w:val="32"/>
          <w:szCs w:val="32"/>
          <w14:textFill>
            <w14:solidFill>
              <w14:schemeClr w14:val="tx1"/>
            </w14:solidFill>
          </w14:textFill>
        </w:rPr>
        <w:t>主管部门。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市级</w:t>
      </w:r>
      <w:r>
        <w:rPr>
          <w:rFonts w:hint="eastAsia" w:ascii="仿宋_GB2312" w:hAnsi="仿宋_GB2312" w:eastAsia="仿宋_GB2312" w:cs="仿宋_GB2312"/>
          <w:color w:val="000000" w:themeColor="text1"/>
          <w:sz w:val="32"/>
          <w:szCs w:val="32"/>
          <w14:textFill>
            <w14:solidFill>
              <w14:schemeClr w14:val="tx1"/>
            </w14:solidFill>
          </w14:textFill>
        </w:rPr>
        <w:t>主管部门依据报送的计划，统筹规划，合理安排，拟定</w:t>
      </w:r>
      <w:r>
        <w:rPr>
          <w:rFonts w:hint="eastAsia" w:ascii="仿宋_GB2312" w:hAnsi="仿宋_GB2312" w:eastAsia="仿宋_GB2312" w:cs="仿宋_GB2312"/>
          <w:color w:val="000000" w:themeColor="text1"/>
          <w:sz w:val="32"/>
          <w:szCs w:val="32"/>
          <w:lang w:eastAsia="zh-CN"/>
          <w14:textFill>
            <w14:solidFill>
              <w14:schemeClr w14:val="tx1"/>
            </w14:solidFill>
          </w14:textFill>
        </w:rPr>
        <w:t>本部门公款竞争性存放</w:t>
      </w:r>
      <w:r>
        <w:rPr>
          <w:rFonts w:hint="eastAsia" w:ascii="仿宋_GB2312" w:hAnsi="仿宋_GB2312" w:eastAsia="仿宋_GB2312" w:cs="仿宋_GB2312"/>
          <w:color w:val="000000" w:themeColor="text1"/>
          <w:sz w:val="32"/>
          <w:szCs w:val="32"/>
          <w14:textFill>
            <w14:solidFill>
              <w14:schemeClr w14:val="tx1"/>
            </w14:solidFill>
          </w14:textFill>
        </w:rPr>
        <w:t>计划，经领导班子集体研究决定后组织实施。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市级行政事业单位自行组织或委托市公共资源交易中心、中介机构组织的公款竞争性存放应统一通过浙江政采云公款竞争性存放网上招标平台进行招投标，包括发布招标文件、投标报名、资格审查、投标开标、专家评审、发布中标结果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color w:val="000000"/>
          <w:kern w:val="0"/>
          <w:sz w:val="32"/>
          <w:szCs w:val="32"/>
          <w:lang w:val="en-US" w:eastAsia="zh-CN"/>
        </w:rPr>
        <w:t xml:space="preserve">第十三条 </w:t>
      </w:r>
      <w:r>
        <w:rPr>
          <w:rFonts w:hint="eastAsia" w:ascii="仿宋_GB2312" w:hAnsi="仿宋_GB2312" w:eastAsia="仿宋_GB2312" w:cs="仿宋_GB2312"/>
          <w:color w:val="000000"/>
          <w:kern w:val="0"/>
          <w:sz w:val="32"/>
          <w:szCs w:val="32"/>
          <w:lang w:val="en-US" w:eastAsia="zh-CN"/>
        </w:rPr>
        <w:t>市级行政</w:t>
      </w:r>
      <w:r>
        <w:rPr>
          <w:rFonts w:hint="eastAsia" w:ascii="仿宋_GB2312" w:hAnsi="仿宋_GB2312" w:eastAsia="仿宋_GB2312" w:cs="仿宋_GB2312"/>
          <w:kern w:val="2"/>
          <w:sz w:val="32"/>
          <w:szCs w:val="32"/>
          <w:lang w:val="en-US" w:eastAsia="zh-CN" w:bidi="ar-SA"/>
        </w:rPr>
        <w:t>事业单位开展公款竞争性存放工作，应在“浙江省政府采购网”、主管部门或单位门户网站（以下简称指定网站）上发布招标公告。</w:t>
      </w:r>
      <w:r>
        <w:rPr>
          <w:rFonts w:hint="eastAsia" w:ascii="仿宋_GB2312" w:hAnsi="仿宋_GB2312" w:eastAsia="仿宋_GB2312" w:cs="仿宋_GB2312"/>
          <w:sz w:val="32"/>
          <w:szCs w:val="32"/>
          <w:lang w:val="en-US" w:eastAsia="zh-CN"/>
        </w:rPr>
        <w:t>招标公告内容包括招标单位名称、招标项目、投标人资格要求、报名时间及方式、招标文件获取方式、投标时间及地点、开标时间及地点、联系方式等事项。招</w:t>
      </w:r>
      <w:r>
        <w:rPr>
          <w:rFonts w:hint="eastAsia" w:ascii="仿宋_GB2312" w:hAnsi="仿宋_GB2312" w:eastAsia="仿宋_GB2312" w:cs="仿宋_GB2312"/>
          <w:kern w:val="2"/>
          <w:sz w:val="32"/>
          <w:szCs w:val="32"/>
          <w:lang w:val="en-US" w:eastAsia="zh-CN" w:bidi="ar-SA"/>
        </w:rPr>
        <w:t>标文件相关利率及计结息要求应符合国家利率政策规定。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招标公告可参照本办法规定格式（详见附</w:t>
      </w:r>
      <w:r>
        <w:rPr>
          <w:rFonts w:hint="eastAsia" w:ascii="仿宋_GB2312" w:hAnsi="仿宋_GB2312" w:eastAsia="仿宋_GB2312" w:cs="仿宋_GB2312"/>
          <w:sz w:val="32"/>
          <w:szCs w:val="32"/>
          <w:lang w:val="en-US" w:eastAsia="zh-CN"/>
        </w:rPr>
        <w:t>件</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），公告内容应包括但不限于附件格式所列内容。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color w:val="000000"/>
          <w:kern w:val="0"/>
          <w:sz w:val="32"/>
          <w:szCs w:val="32"/>
          <w:lang w:val="en-US" w:eastAsia="zh-CN"/>
        </w:rPr>
        <w:t>市级行政事业单位公款竞争性存放定期存款期限一般不超过1年，相关法律法规规章规定需要进行保值增值的资金可适当延长存款期限，但不得超过5年。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第十五条</w:t>
      </w:r>
      <w:r>
        <w:rPr>
          <w:rFonts w:hint="eastAsia" w:ascii="仿宋_GB2312" w:hAnsi="仿宋_GB2312" w:eastAsia="仿宋_GB2312" w:cs="仿宋_GB2312"/>
          <w:color w:val="000000"/>
          <w:kern w:val="0"/>
          <w:sz w:val="32"/>
          <w:szCs w:val="32"/>
          <w:lang w:val="en-US" w:eastAsia="zh-CN"/>
        </w:rPr>
        <w:t>  参与市级行政事业单位公款竞争性存放的银行是指在中华人民共和国境内依法设立的商业银行、农村信用合作联社等银行业金融机构。银行参与投标应符合以下条件：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kern w:val="0"/>
          <w:sz w:val="32"/>
          <w:szCs w:val="32"/>
          <w:lang w:val="en-US" w:eastAsia="zh-CN"/>
        </w:rPr>
        <w:t>（一）在市级行政事业</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单位所在同城设有分支机构；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（二）依法开展经营活动，近3年内在经营活动中无重大违法违规记录及重大违约事件；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（三）纳入人民银行综合评价的银行，人民银行上年度综合评价应达到B级及以上，不纳入人民银行综合评价范围的银行不受此限制。</w:t>
      </w:r>
    </w:p>
    <w:p>
      <w:pPr>
        <w:ind w:firstLine="640" w:firstLineChars="200"/>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第十六条 </w:t>
      </w:r>
      <w:r>
        <w:rPr>
          <w:rFonts w:hint="eastAsia" w:ascii="仿宋_GB2312" w:hAnsi="仿宋_GB2312" w:eastAsia="仿宋_GB2312" w:cs="仿宋_GB2312"/>
          <w:color w:val="000000"/>
          <w:kern w:val="0"/>
          <w:sz w:val="32"/>
          <w:szCs w:val="32"/>
          <w:lang w:val="en-US" w:eastAsia="zh-CN"/>
        </w:rPr>
        <w:t>公款竞争性存放应按规定建立5人及以上单数人员组成的评选委员会，评选委员会应当由单位内部成员和外部专家共同组成。外部专家比例不低于60%，可从省级单位公款竞争性存放评审专家库中抽取。评选委员会成员应严格执行利益回避的相关规定，成员名单在中标结果确定前应当保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pacing w:val="8"/>
          <w:kern w:val="0"/>
          <w:sz w:val="32"/>
          <w:szCs w:val="32"/>
          <w:lang w:val="en-US" w:eastAsia="zh-CN" w:bidi="ar-SA"/>
        </w:rPr>
      </w:pPr>
      <w:r>
        <w:rPr>
          <w:rFonts w:hint="eastAsia" w:ascii="黑体" w:hAnsi="黑体" w:eastAsia="黑体" w:cs="黑体"/>
          <w:color w:val="000000"/>
          <w:kern w:val="0"/>
          <w:sz w:val="32"/>
          <w:szCs w:val="32"/>
          <w:lang w:val="en-US" w:eastAsia="zh-CN"/>
        </w:rPr>
        <w:t xml:space="preserve">第十七条 </w:t>
      </w:r>
      <w:r>
        <w:rPr>
          <w:rFonts w:hint="eastAsia" w:ascii="仿宋_GB2312" w:hAnsi="仿宋_GB2312" w:eastAsia="仿宋_GB2312" w:cs="仿宋_GB2312"/>
          <w:color w:val="000000"/>
          <w:kern w:val="0"/>
          <w:sz w:val="32"/>
          <w:szCs w:val="32"/>
          <w:lang w:val="en-US" w:eastAsia="zh-CN"/>
        </w:rPr>
        <w:t>公款</w:t>
      </w:r>
      <w:r>
        <w:rPr>
          <w:rFonts w:hint="eastAsia" w:ascii="仿宋_GB2312" w:hAnsi="仿宋_GB2312" w:eastAsia="仿宋_GB2312" w:cs="仿宋_GB2312"/>
          <w:color w:val="000000"/>
          <w:kern w:val="0"/>
          <w:sz w:val="32"/>
          <w:szCs w:val="32"/>
          <w:lang w:val="en-US" w:eastAsia="zh-CN" w:bidi="ar"/>
        </w:rPr>
        <w:t>竞</w:t>
      </w:r>
      <w:r>
        <w:rPr>
          <w:rFonts w:hint="eastAsia" w:ascii="仿宋_GB2312" w:hAnsi="仿宋_GB2312" w:eastAsia="仿宋_GB2312" w:cs="仿宋_GB2312"/>
          <w:color w:val="000000"/>
          <w:kern w:val="0"/>
          <w:sz w:val="32"/>
          <w:szCs w:val="32"/>
          <w:lang w:val="en-US" w:eastAsia="zh-CN"/>
        </w:rPr>
        <w:t>争性存放统一采用综合评分法进行评分，根据评分结果择优确定中标银行。评</w:t>
      </w:r>
      <w:r>
        <w:rPr>
          <w:rFonts w:hint="eastAsia" w:ascii="仿宋_GB2312" w:hAnsi="仿宋_GB2312" w:eastAsia="仿宋_GB2312" w:cs="仿宋_GB2312"/>
          <w:bCs/>
          <w:spacing w:val="8"/>
          <w:kern w:val="0"/>
          <w:sz w:val="32"/>
          <w:szCs w:val="32"/>
          <w:lang w:val="en-US" w:eastAsia="zh-CN" w:bidi="ar-SA"/>
        </w:rPr>
        <w:t>分指标包括各竞标银行经营状况、服务水平、利率水平和经济贡献度等。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bCs/>
          <w:spacing w:val="8"/>
          <w:kern w:val="0"/>
          <w:sz w:val="32"/>
          <w:szCs w:val="32"/>
          <w:lang w:val="en-US" w:eastAsia="zh-CN" w:bidi="ar-SA"/>
        </w:rPr>
      </w:pPr>
      <w:r>
        <w:rPr>
          <w:rFonts w:hint="eastAsia" w:ascii="仿宋_GB2312" w:hAnsi="仿宋_GB2312" w:eastAsia="仿宋_GB2312" w:cs="仿宋_GB2312"/>
          <w:bCs/>
          <w:spacing w:val="8"/>
          <w:kern w:val="0"/>
          <w:sz w:val="32"/>
          <w:szCs w:val="32"/>
          <w:lang w:val="en-US" w:eastAsia="zh-CN" w:bidi="ar-SA"/>
        </w:rPr>
        <w:t>经营状况方面的指标应能反映银行的资产质量、偿付能力、运营能力、内部控制水平等。服务水平方面的指标应能反映银行提供支付结算、对账、分账核算等服务的能力和水平。利率水平指定期存款利率等，应当符</w:t>
      </w:r>
      <w:r>
        <w:rPr>
          <w:rFonts w:hint="eastAsia" w:ascii="仿宋_GB2312" w:hAnsi="宋体" w:eastAsia="仿宋_GB2312" w:cs="Arial"/>
          <w:bCs/>
          <w:spacing w:val="8"/>
          <w:kern w:val="0"/>
          <w:sz w:val="32"/>
          <w:szCs w:val="32"/>
          <w:lang w:val="en-US" w:eastAsia="zh-CN" w:bidi="ar-SA"/>
        </w:rPr>
        <w:t>合国家利率政</w:t>
      </w:r>
      <w:r>
        <w:rPr>
          <w:rFonts w:hint="eastAsia" w:ascii="仿宋_GB2312" w:hAnsi="仿宋_GB2312" w:eastAsia="仿宋_GB2312" w:cs="仿宋_GB2312"/>
          <w:bCs/>
          <w:spacing w:val="8"/>
          <w:kern w:val="0"/>
          <w:sz w:val="32"/>
          <w:szCs w:val="32"/>
          <w:lang w:val="en-US" w:eastAsia="zh-CN" w:bidi="ar-SA"/>
        </w:rPr>
        <w:t>策规定。经济贡献度指标应能反映银行对经济发展、重点事业等的支持贡献情况。市级行政事业单位应按照公平公正原则科学合理设置具体指标及分值权重。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第十八条 </w:t>
      </w:r>
      <w:r>
        <w:rPr>
          <w:rFonts w:hint="eastAsia" w:ascii="仿宋_GB2312" w:hAnsi="仿宋_GB2312" w:eastAsia="仿宋_GB2312" w:cs="仿宋_GB2312"/>
          <w:color w:val="000000"/>
          <w:kern w:val="0"/>
          <w:sz w:val="32"/>
          <w:szCs w:val="32"/>
          <w:lang w:val="en-US" w:eastAsia="zh-CN"/>
        </w:rPr>
        <w:t>市级行政事业单位按综合评分从高到低确定中标银行。市级行政事业单位需在招标文件中明确中标银行数量、中标银行具体资金分配方案、提前支取方案等事项，禁止在入围银行中进行二次选择。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rPr>
        <w:t> </w:t>
      </w:r>
      <w:r>
        <w:rPr>
          <w:rFonts w:hint="eastAsia" w:ascii="黑体" w:hAnsi="黑体" w:eastAsia="黑体" w:cs="黑体"/>
          <w:color w:val="000000"/>
          <w:kern w:val="0"/>
          <w:sz w:val="32"/>
          <w:szCs w:val="32"/>
          <w:lang w:val="en-US" w:eastAsia="zh-CN"/>
        </w:rPr>
        <w:t xml:space="preserve">第十九条 </w:t>
      </w:r>
      <w:r>
        <w:rPr>
          <w:rFonts w:hint="eastAsia" w:ascii="仿宋_GB2312" w:hAnsi="仿宋_GB2312" w:eastAsia="仿宋_GB2312" w:cs="仿宋_GB2312"/>
          <w:color w:val="000000"/>
          <w:kern w:val="0"/>
          <w:sz w:val="32"/>
          <w:szCs w:val="32"/>
          <w:lang w:val="en-US" w:eastAsia="zh-CN"/>
        </w:rPr>
        <w:t>市</w:t>
      </w:r>
      <w:r>
        <w:rPr>
          <w:rFonts w:hint="eastAsia" w:ascii="仿宋_GB2312" w:hAnsi="仿宋_GB2312" w:eastAsia="仿宋_GB2312" w:cs="仿宋_GB2312"/>
          <w:color w:val="000000"/>
          <w:kern w:val="0"/>
          <w:sz w:val="32"/>
          <w:szCs w:val="32"/>
          <w:lang w:val="en-US" w:eastAsia="zh-CN" w:bidi="ar-SA"/>
        </w:rPr>
        <w:t>级行政事业单位开展公款竞争性存放，应当要求银行出具廉政承诺书（详见附件2），承诺不得向单位领导以及相关业务部门负责人输送任何利益，不得将资金存放与上述人员在本行的配偶、子女及其配偶以及其他特定关系人的业绩、收入挂钩。凡发现并经核实资金存放银行未遵守廉政承诺或者在资金存放中存在其他利益输送行为的，市级行政事业单位应当及时收回资金。在一定期限内取消该银行参与行政事业单位公款竞争性存放的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000000"/>
          <w:kern w:val="0"/>
          <w:sz w:val="32"/>
          <w:szCs w:val="32"/>
          <w:lang w:val="en-US" w:eastAsia="zh-CN"/>
        </w:rPr>
        <w:t xml:space="preserve">第二十条 </w:t>
      </w:r>
      <w:r>
        <w:rPr>
          <w:rFonts w:hint="eastAsia" w:ascii="仿宋_GB2312" w:hAnsi="仿宋_GB2312" w:eastAsia="仿宋_GB2312" w:cs="仿宋_GB2312"/>
          <w:color w:val="000000"/>
          <w:kern w:val="0"/>
          <w:sz w:val="32"/>
          <w:szCs w:val="32"/>
          <w:lang w:val="en-US" w:eastAsia="zh-CN"/>
        </w:rPr>
        <w:t>开展公款竞争性存放招投标工作，应确保参与银行编制投标文件所需要的合</w:t>
      </w:r>
      <w:r>
        <w:rPr>
          <w:rFonts w:hint="eastAsia" w:ascii="仿宋_GB2312" w:hAnsi="仿宋_GB2312" w:eastAsia="仿宋_GB2312" w:cs="仿宋_GB2312"/>
          <w:color w:val="auto"/>
          <w:kern w:val="0"/>
          <w:sz w:val="32"/>
          <w:szCs w:val="32"/>
          <w:lang w:val="en-US" w:eastAsia="zh-CN"/>
        </w:rPr>
        <w:t>理时间。招标文件发布至投标截止的时间不得少于20日，</w:t>
      </w:r>
      <w:r>
        <w:rPr>
          <w:rFonts w:hint="eastAsia" w:ascii="仿宋_GB2312" w:hAnsi="仿宋_GB2312" w:eastAsia="仿宋_GB2312" w:cs="仿宋_GB2312"/>
          <w:color w:val="auto"/>
          <w:kern w:val="2"/>
          <w:sz w:val="32"/>
          <w:szCs w:val="32"/>
          <w:lang w:val="en-US" w:eastAsia="zh-CN" w:bidi="ar-SA"/>
        </w:rPr>
        <w:t>参与竞争的银行不应少于3家。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color w:val="000000"/>
          <w:kern w:val="0"/>
          <w:sz w:val="32"/>
          <w:szCs w:val="32"/>
          <w:lang w:val="en-US" w:eastAsia="zh-CN"/>
        </w:rPr>
        <w:t>级行政事业单位或</w:t>
      </w:r>
      <w:r>
        <w:rPr>
          <w:rFonts w:hint="eastAsia" w:ascii="仿宋_GB2312" w:hAnsi="仿宋_GB2312" w:eastAsia="仿宋_GB2312" w:cs="仿宋_GB2312"/>
          <w:b w:val="0"/>
          <w:bCs w:val="0"/>
          <w:sz w:val="32"/>
          <w:szCs w:val="32"/>
          <w:lang w:val="en-US" w:eastAsia="zh-CN"/>
        </w:rPr>
        <w:t>市公共资源交易中心、</w:t>
      </w:r>
      <w:r>
        <w:rPr>
          <w:rFonts w:hint="eastAsia" w:ascii="仿宋_GB2312" w:hAnsi="仿宋_GB2312" w:eastAsia="仿宋_GB2312" w:cs="仿宋_GB2312"/>
          <w:color w:val="000000"/>
          <w:kern w:val="0"/>
          <w:sz w:val="32"/>
          <w:szCs w:val="32"/>
          <w:lang w:val="en-US" w:eastAsia="zh-CN"/>
        </w:rPr>
        <w:t>中介机构可以对已发出的招标文件进行必要的澄清或者修改。澄清或者修改的内容可能影响投标文件编制的，市级行政事业单位或</w:t>
      </w:r>
      <w:r>
        <w:rPr>
          <w:rFonts w:hint="eastAsia" w:ascii="仿宋_GB2312" w:hAnsi="仿宋_GB2312" w:eastAsia="仿宋_GB2312" w:cs="仿宋_GB2312"/>
          <w:b w:val="0"/>
          <w:bCs w:val="0"/>
          <w:sz w:val="32"/>
          <w:szCs w:val="32"/>
          <w:lang w:val="en-US" w:eastAsia="zh-CN"/>
        </w:rPr>
        <w:t>市公共资源交易中心、</w:t>
      </w:r>
      <w:r>
        <w:rPr>
          <w:rFonts w:hint="eastAsia" w:ascii="仿宋_GB2312" w:hAnsi="仿宋_GB2312" w:eastAsia="仿宋_GB2312" w:cs="仿宋_GB2312"/>
          <w:color w:val="000000"/>
          <w:kern w:val="0"/>
          <w:sz w:val="32"/>
          <w:szCs w:val="32"/>
          <w:lang w:val="en-US" w:eastAsia="zh-CN"/>
        </w:rPr>
        <w:t>中介机构应当在指定网站发布更正公告或以书面形式通知所有已获取招标文件的潜在投标人，并视情况顺延投标截止时间，发布更正公告或书面变更通知之日至投标截止</w:t>
      </w:r>
      <w:r>
        <w:rPr>
          <w:rFonts w:hint="eastAsia" w:ascii="仿宋_GB2312" w:hAnsi="仿宋_GB2312" w:eastAsia="仿宋_GB2312" w:cs="仿宋_GB2312"/>
          <w:color w:val="auto"/>
          <w:kern w:val="0"/>
          <w:sz w:val="32"/>
          <w:szCs w:val="32"/>
          <w:lang w:val="en-US" w:eastAsia="zh-CN"/>
        </w:rPr>
        <w:t>的时间</w:t>
      </w:r>
      <w:r>
        <w:rPr>
          <w:rFonts w:hint="eastAsia" w:ascii="仿宋_GB2312" w:hAnsi="仿宋_GB2312" w:eastAsia="仿宋_GB2312" w:cs="仿宋_GB2312"/>
          <w:color w:val="000000"/>
          <w:kern w:val="0"/>
          <w:sz w:val="32"/>
          <w:szCs w:val="32"/>
          <w:lang w:val="en-US" w:eastAsia="zh-CN"/>
        </w:rPr>
        <w:t>不得少</w:t>
      </w:r>
      <w:r>
        <w:rPr>
          <w:rFonts w:hint="eastAsia" w:ascii="仿宋_GB2312" w:hAnsi="仿宋_GB2312" w:eastAsia="仿宋_GB2312" w:cs="仿宋_GB2312"/>
          <w:color w:val="auto"/>
          <w:kern w:val="0"/>
          <w:sz w:val="32"/>
          <w:szCs w:val="32"/>
          <w:lang w:val="en-US" w:eastAsia="zh-CN"/>
        </w:rPr>
        <w:t>于5个工</w:t>
      </w:r>
      <w:r>
        <w:rPr>
          <w:rFonts w:hint="eastAsia" w:ascii="仿宋_GB2312" w:hAnsi="仿宋_GB2312" w:eastAsia="仿宋_GB2312" w:cs="仿宋_GB2312"/>
          <w:color w:val="000000"/>
          <w:kern w:val="0"/>
          <w:sz w:val="32"/>
          <w:szCs w:val="32"/>
          <w:lang w:val="en-US" w:eastAsia="zh-CN"/>
        </w:rPr>
        <w:t>作日。</w:t>
      </w:r>
    </w:p>
    <w:p>
      <w:pPr>
        <w:pStyle w:val="12"/>
        <w:keepNext w:val="0"/>
        <w:keepLines w:val="0"/>
        <w:pageBreakBefore w:val="0"/>
        <w:widowControl w:val="0"/>
        <w:kinsoku/>
        <w:wordWrap/>
        <w:overflowPunct/>
        <w:topLinePunct w:val="0"/>
        <w:autoSpaceDE/>
        <w:autoSpaceDN/>
        <w:bidi w:val="0"/>
        <w:adjustRightInd/>
        <w:snapToGrid/>
        <w:spacing w:before="0" w:before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val="en-US" w:eastAsia="zh-CN" w:bidi="ar-SA"/>
        </w:rPr>
        <w:t>更正公告可参照本办法规定格式（详见附件</w:t>
      </w:r>
      <w:r>
        <w:rPr>
          <w:rFonts w:hint="eastAsia" w:ascii="仿宋_GB2312" w:hAnsi="仿宋_GB2312" w:eastAsia="仿宋_GB2312" w:cs="仿宋_GB2312"/>
          <w:color w:val="000000"/>
          <w:kern w:val="0"/>
          <w:sz w:val="32"/>
          <w:szCs w:val="32"/>
          <w:lang w:val="en-US" w:eastAsia="zh-CN" w:bidi="ar-SA"/>
        </w:rPr>
        <w:t>3</w:t>
      </w:r>
      <w:r>
        <w:rPr>
          <w:rFonts w:hint="default" w:ascii="仿宋_GB2312" w:hAnsi="仿宋_GB2312" w:eastAsia="仿宋_GB2312" w:cs="仿宋_GB2312"/>
          <w:color w:val="000000"/>
          <w:kern w:val="0"/>
          <w:sz w:val="32"/>
          <w:szCs w:val="32"/>
          <w:lang w:val="en-US" w:eastAsia="zh-CN" w:bidi="ar-SA"/>
        </w:rPr>
        <w:t>）</w:t>
      </w:r>
      <w:r>
        <w:rPr>
          <w:rFonts w:hint="eastAsia" w:ascii="仿宋_GB2312" w:hAnsi="仿宋_GB2312" w:eastAsia="仿宋_GB2312" w:cs="仿宋_GB2312"/>
          <w:color w:val="000000"/>
          <w:kern w:val="0"/>
          <w:sz w:val="32"/>
          <w:szCs w:val="32"/>
          <w:lang w:val="en-US" w:eastAsia="zh-CN" w:bidi="ar-SA"/>
        </w:rPr>
        <w:t>，公告内容应包括但不限于附件格式所列内容。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Cs/>
          <w:spacing w:val="8"/>
          <w:kern w:val="0"/>
          <w:sz w:val="32"/>
          <w:szCs w:val="32"/>
          <w:lang w:val="en-US" w:eastAsia="zh-CN" w:bidi="ar-SA"/>
        </w:rPr>
      </w:pPr>
      <w:r>
        <w:rPr>
          <w:rFonts w:hint="eastAsia" w:ascii="黑体" w:hAnsi="黑体" w:eastAsia="黑体" w:cs="黑体"/>
          <w:sz w:val="32"/>
          <w:szCs w:val="32"/>
          <w:lang w:val="en-US" w:eastAsia="zh-CN"/>
        </w:rPr>
        <w:t>第二十一条</w:t>
      </w:r>
      <w:r>
        <w:rPr>
          <w:rFonts w:hint="eastAsia" w:ascii="黑体" w:hAnsi="黑体" w:eastAsia="黑体" w:cs="黑体"/>
          <w:bCs/>
          <w:spacing w:val="8"/>
          <w:kern w:val="0"/>
          <w:sz w:val="32"/>
          <w:szCs w:val="32"/>
          <w:lang w:val="en-US" w:eastAsia="zh-CN" w:bidi="ar-SA"/>
        </w:rPr>
        <w:t xml:space="preserve"> </w:t>
      </w:r>
      <w:r>
        <w:rPr>
          <w:rFonts w:hint="eastAsia" w:ascii="仿宋_GB2312" w:hAnsi="仿宋_GB2312" w:eastAsia="仿宋_GB2312" w:cs="仿宋_GB2312"/>
          <w:bCs/>
          <w:spacing w:val="8"/>
          <w:kern w:val="0"/>
          <w:sz w:val="32"/>
          <w:szCs w:val="32"/>
          <w:lang w:val="en-US" w:eastAsia="zh-CN" w:bidi="ar-SA"/>
        </w:rPr>
        <w:t>公款竞争性存放招标结果经市级行政事业单位确认后生效。招标结果生效后，市级行政事业单位或市公共资源交易中心、中介机构应向中标银行发出中标通知书，同时将招标结果通知所有竞标银行，并在指定网站上对中标银行、存款期限、中标利率、综合得分排名情况、中标金额或中标资金分配方案等中标信息进行公告。</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中标公告可参照本办法规定格式进行公告（详见附件4），公告内容应包括但不限于附件格式所列内容。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第二十二条 </w:t>
      </w:r>
      <w:r>
        <w:rPr>
          <w:rFonts w:hint="eastAsia" w:ascii="仿宋_GB2312" w:hAnsi="仿宋_GB2312" w:eastAsia="仿宋_GB2312" w:cs="仿宋_GB2312"/>
          <w:color w:val="000000"/>
          <w:kern w:val="0"/>
          <w:sz w:val="32"/>
          <w:szCs w:val="32"/>
          <w:lang w:val="en-US" w:eastAsia="zh-CN"/>
        </w:rPr>
        <w:t>公款竞争性存放招标结果公告后，市级主管部门统一组织招标的，应当及时将具体中标结果书面通知下属单位，主管部门或下属单位应与中标银行签订规范的定期存款协议，全面、清晰界定双方权利义务关系。协议内容应包括中标银行提供的具体服务事项、违约责任的处理、双方在确保账户资金安全中的职责、协议变更和终止条件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第二十三条 </w:t>
      </w:r>
      <w:r>
        <w:rPr>
          <w:rFonts w:hint="eastAsia" w:ascii="仿宋_GB2312" w:hAnsi="仿宋_GB2312" w:eastAsia="仿宋_GB2312" w:cs="仿宋_GB2312"/>
          <w:color w:val="000000"/>
          <w:kern w:val="0"/>
          <w:sz w:val="32"/>
          <w:szCs w:val="32"/>
          <w:lang w:val="en-US" w:eastAsia="zh-CN"/>
        </w:rPr>
        <w:t>市级行政事业单位应在协议签订后及时办理定期存款相关手续。中标银行应及时向市级行政事业单位提供定期存单。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pacing w:val="8"/>
          <w:kern w:val="0"/>
          <w:sz w:val="32"/>
          <w:szCs w:val="32"/>
          <w:lang w:val="en-US" w:eastAsia="zh-CN" w:bidi="ar-SA"/>
        </w:rPr>
      </w:pPr>
      <w:r>
        <w:rPr>
          <w:rFonts w:hint="eastAsia" w:ascii="黑体" w:hAnsi="黑体" w:eastAsia="黑体" w:cs="黑体"/>
          <w:color w:val="000000"/>
          <w:kern w:val="0"/>
          <w:sz w:val="32"/>
          <w:szCs w:val="32"/>
          <w:lang w:val="en-US" w:eastAsia="zh-CN"/>
        </w:rPr>
        <w:t xml:space="preserve">第二十四条 </w:t>
      </w:r>
      <w:r>
        <w:rPr>
          <w:rFonts w:hint="eastAsia" w:ascii="仿宋_GB2312" w:hAnsi="仿宋_GB2312" w:eastAsia="仿宋_GB2312" w:cs="仿宋_GB2312"/>
          <w:color w:val="000000"/>
          <w:kern w:val="0"/>
          <w:sz w:val="32"/>
          <w:szCs w:val="32"/>
          <w:lang w:val="en-US" w:eastAsia="zh-CN"/>
        </w:rPr>
        <w:t>市</w:t>
      </w:r>
      <w:r>
        <w:rPr>
          <w:rFonts w:hint="eastAsia" w:ascii="仿宋_GB2312" w:hAnsi="仿宋_GB2312" w:eastAsia="仿宋_GB2312" w:cs="仿宋_GB2312"/>
          <w:bCs/>
          <w:spacing w:val="8"/>
          <w:kern w:val="0"/>
          <w:sz w:val="32"/>
          <w:szCs w:val="32"/>
          <w:lang w:val="en-US" w:eastAsia="zh-CN" w:bidi="ar-SA"/>
        </w:rPr>
        <w:t>级预算单位公款竞争性存放招标有效期不超过2年，其他单位有效期不超过5年。有效期内，定期存款到期后可续存原中标银行，但需领导班子集体研究决定，利率符合国家政策要求，</w:t>
      </w:r>
      <w:r>
        <w:rPr>
          <w:rFonts w:hint="eastAsia" w:ascii="仿宋_GB2312" w:hAnsi="仿宋_GB2312" w:eastAsia="仿宋_GB2312" w:cs="仿宋_GB2312"/>
          <w:color w:val="000000"/>
          <w:kern w:val="0"/>
          <w:sz w:val="32"/>
          <w:szCs w:val="32"/>
          <w:lang w:val="en-US" w:eastAsia="zh-CN"/>
        </w:rPr>
        <w:t>且续存利率不低于市级行政事业单位在</w:t>
      </w:r>
      <w:r>
        <w:rPr>
          <w:rFonts w:hint="eastAsia" w:ascii="仿宋_GB2312" w:hAnsi="仿宋_GB2312" w:eastAsia="仿宋_GB2312" w:cs="仿宋_GB2312"/>
          <w:color w:val="auto"/>
          <w:spacing w:val="-20"/>
          <w:kern w:val="0"/>
          <w:sz w:val="32"/>
          <w:szCs w:val="32"/>
          <w:lang w:val="en-US" w:eastAsia="zh-CN"/>
        </w:rPr>
        <w:t>“浙江省政府采购网”</w:t>
      </w:r>
      <w:r>
        <w:rPr>
          <w:rFonts w:hint="eastAsia" w:ascii="仿宋_GB2312" w:hAnsi="仿宋_GB2312" w:eastAsia="仿宋_GB2312" w:cs="仿宋_GB2312"/>
          <w:color w:val="auto"/>
          <w:kern w:val="0"/>
          <w:sz w:val="32"/>
          <w:szCs w:val="32"/>
          <w:lang w:val="en-US" w:eastAsia="zh-CN"/>
        </w:rPr>
        <w:t>上</w:t>
      </w:r>
      <w:r>
        <w:rPr>
          <w:rFonts w:hint="eastAsia" w:ascii="仿宋_GB2312" w:hAnsi="仿宋_GB2312" w:eastAsia="仿宋_GB2312" w:cs="仿宋_GB2312"/>
          <w:color w:val="000000"/>
          <w:kern w:val="0"/>
          <w:sz w:val="32"/>
          <w:szCs w:val="32"/>
          <w:lang w:val="en-US" w:eastAsia="zh-CN"/>
        </w:rPr>
        <w:t>公布的</w:t>
      </w:r>
      <w:r>
        <w:rPr>
          <w:rFonts w:hint="eastAsia" w:ascii="仿宋_GB2312" w:hAnsi="仿宋_GB2312" w:eastAsia="仿宋_GB2312" w:cs="仿宋_GB2312"/>
          <w:bCs/>
          <w:spacing w:val="8"/>
          <w:kern w:val="0"/>
          <w:sz w:val="32"/>
          <w:szCs w:val="32"/>
          <w:lang w:val="en-US" w:eastAsia="zh-CN" w:bidi="ar-SA"/>
        </w:rPr>
        <w:t>同类银行最近同期限中标利率。原招标工作由市级主管部门组织实施的，续存需经主管部门领导班子集体研究决定；由下属单位自行组织实施的，可由该下属单位领导班子集体研究决定，并将决定结果报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黑体" w:hAnsi="黑体" w:eastAsia="黑体" w:cs="黑体"/>
          <w:color w:val="000000"/>
          <w:kern w:val="0"/>
          <w:sz w:val="32"/>
          <w:szCs w:val="32"/>
          <w:lang w:val="en-US" w:eastAsia="zh-CN"/>
        </w:rPr>
        <w:t xml:space="preserve">第二十五条 </w:t>
      </w:r>
      <w:r>
        <w:rPr>
          <w:rFonts w:hint="eastAsia" w:ascii="仿宋_GB2312" w:hAnsi="仿宋_GB2312" w:eastAsia="仿宋_GB2312" w:cs="仿宋_GB2312"/>
          <w:color w:val="000000"/>
          <w:kern w:val="0"/>
          <w:sz w:val="32"/>
          <w:szCs w:val="32"/>
          <w:lang w:val="en-US" w:eastAsia="zh-CN"/>
        </w:rPr>
        <w:t>市级行政事业单位应统筹规划，尽量减少存款到期与实施竞争性存放招标的间歇期。确因特殊原因存在间歇期的，经本单位分管领导批准可在原存款开户银行进行七天通知存款，直至竞争性存放结果生效后按中标结果存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第二十六条 </w:t>
      </w:r>
      <w:r>
        <w:rPr>
          <w:rFonts w:hint="eastAsia" w:ascii="仿宋_GB2312" w:hAnsi="仿宋_GB2312" w:eastAsia="仿宋_GB2312" w:cs="仿宋_GB2312"/>
          <w:color w:val="000000"/>
          <w:kern w:val="0"/>
          <w:sz w:val="32"/>
          <w:szCs w:val="32"/>
          <w:lang w:val="en-US" w:eastAsia="zh-CN"/>
        </w:rPr>
        <w:t>定期存款存放银行出现以下情形之一的，市级行政事业单位应及时收回定期存款，并有权拒绝其在以后2年内参与本单位公款竞争性存放：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（一）出现资金安全事故、重大违法违规情况或财务状况恶化的；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（二）</w:t>
      </w:r>
      <w:r>
        <w:rPr>
          <w:rFonts w:hint="eastAsia" w:ascii="仿宋_GB2312" w:hAnsi="仿宋_GB2312" w:eastAsia="仿宋_GB2312" w:cs="仿宋_GB2312"/>
          <w:sz w:val="32"/>
          <w:szCs w:val="32"/>
        </w:rPr>
        <w:t>人民银行综合评价等级降低后低于本办法第十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条规定标准，监管部门认为存在较大运营风险的；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w:t>
      </w:r>
      <w:r>
        <w:rPr>
          <w:rFonts w:hint="eastAsia" w:ascii="仿宋_GB2312" w:hAnsi="仿宋_GB2312" w:eastAsia="仿宋_GB2312" w:cs="仿宋_GB2312"/>
          <w:color w:val="auto"/>
          <w:kern w:val="0"/>
          <w:sz w:val="32"/>
          <w:szCs w:val="32"/>
          <w:lang w:val="en-US" w:eastAsia="zh-CN"/>
        </w:rPr>
        <w:t>）进行不正当投标的；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（四）没有按照中标协议承诺履行相应的责任和义务的；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（五）不能按规定将到期存款本息足额缴入单位账户的；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（六）存在其他妨害资金安全行为的。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竞争性存放定期存款存续期内，发现公款竞争性存放存在非主观原因引起的评分错误的，市级行政事业单位应于定期存款到期后及时收回并重新组织招标。</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第二十八条 </w:t>
      </w:r>
      <w:r>
        <w:rPr>
          <w:rFonts w:hint="eastAsia" w:ascii="仿宋_GB2312" w:hAnsi="仿宋_GB2312" w:eastAsia="仿宋_GB2312" w:cs="仿宋_GB2312"/>
          <w:color w:val="000000"/>
          <w:kern w:val="0"/>
          <w:sz w:val="32"/>
          <w:szCs w:val="32"/>
          <w:lang w:val="en-US" w:eastAsia="zh-CN"/>
        </w:rPr>
        <w:t>市级主管部门应切实履行本部门公款竞争性存放管理的主体责任，依据有关法律法规和本办法规定制定本部门公款竞争性存放实施办法，并组织实施。加强对下属单位公款存放的管理，定期对下属单位进行监督检查，发现不按规定存放的，应及时督促纠正；纠正无效的，应提请市级有关职能部门按规定处理。</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第二十九条 </w:t>
      </w:r>
      <w:r>
        <w:rPr>
          <w:rFonts w:hint="eastAsia" w:ascii="仿宋_GB2312" w:hAnsi="仿宋_GB2312" w:eastAsia="仿宋_GB2312" w:cs="仿宋_GB2312"/>
          <w:color w:val="000000"/>
          <w:kern w:val="0"/>
          <w:sz w:val="32"/>
          <w:szCs w:val="32"/>
          <w:lang w:val="en-US" w:eastAsia="zh-CN"/>
        </w:rPr>
        <w:t>存款银行应加强对公款竞争性存放定期存款资金运用管理，防范资金风险，不得将公款竞争性存放定期存款资金投向国家有关政策限制的领域，不得以公款竞争性存放定期存款资金赚取高风险收益。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第三十条 </w:t>
      </w:r>
      <w:r>
        <w:rPr>
          <w:rFonts w:hint="eastAsia" w:ascii="仿宋_GB2312" w:hAnsi="仿宋_GB2312" w:eastAsia="仿宋_GB2312" w:cs="仿宋_GB2312"/>
          <w:color w:val="000000"/>
          <w:kern w:val="0"/>
          <w:sz w:val="32"/>
          <w:szCs w:val="32"/>
          <w:lang w:val="en-US" w:eastAsia="zh-CN"/>
        </w:rPr>
        <w:t> 市财政局、市审计局、市地方金融监督管理局、人行杭州中心支行、浙江银保监局等部门在各自职责范围内对市级行政事业单位公款存放实施业务指导和监督管理。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市财政局</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b w:val="0"/>
          <w:bCs/>
          <w:sz w:val="32"/>
          <w:szCs w:val="32"/>
          <w:lang w:val="en-US" w:eastAsia="zh-CN"/>
        </w:rPr>
        <w:t>完善市级行政事业单位公款存放管理相关制度办法，</w:t>
      </w:r>
      <w:r>
        <w:rPr>
          <w:rFonts w:hint="eastAsia" w:ascii="仿宋_GB2312" w:hAnsi="仿宋_GB2312" w:eastAsia="仿宋_GB2312" w:cs="仿宋_GB2312"/>
          <w:sz w:val="32"/>
          <w:szCs w:val="32"/>
        </w:rPr>
        <w:t>加强对</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级行政事业单位</w:t>
      </w:r>
      <w:r>
        <w:rPr>
          <w:rFonts w:hint="eastAsia" w:ascii="仿宋_GB2312" w:hAnsi="仿宋_GB2312" w:eastAsia="仿宋_GB2312" w:cs="仿宋_GB2312"/>
          <w:sz w:val="32"/>
          <w:szCs w:val="32"/>
          <w:lang w:eastAsia="zh-CN"/>
        </w:rPr>
        <w:t>公款</w:t>
      </w:r>
      <w:r>
        <w:rPr>
          <w:rFonts w:hint="eastAsia" w:ascii="仿宋_GB2312" w:hAnsi="仿宋_GB2312" w:eastAsia="仿宋_GB2312" w:cs="仿宋_GB2312"/>
          <w:sz w:val="32"/>
          <w:szCs w:val="32"/>
        </w:rPr>
        <w:t>竞争性存放的业务指导，并对实施情况进行监督检查。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市审计局结合部门预算执行情况审计等各类审计和专项检查，对市级行政事业单位公款竞争性存放实施监督检查。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000000"/>
          <w:kern w:val="0"/>
          <w:sz w:val="32"/>
          <w:szCs w:val="32"/>
          <w:lang w:val="en-US" w:eastAsia="zh-CN"/>
        </w:rPr>
        <w:t>市地方金融监督管理局负责向</w:t>
      </w:r>
      <w:r>
        <w:rPr>
          <w:rFonts w:hint="eastAsia" w:ascii="仿宋_GB2312" w:hAnsi="仿宋_GB2312" w:eastAsia="仿宋_GB2312" w:cs="仿宋_GB2312"/>
          <w:color w:val="auto"/>
          <w:kern w:val="0"/>
          <w:sz w:val="32"/>
          <w:szCs w:val="32"/>
          <w:lang w:val="en-US" w:eastAsia="zh-CN"/>
        </w:rPr>
        <w:t>招标单位提供经营状况指标、经济贡献度指标、</w:t>
      </w:r>
      <w:r>
        <w:rPr>
          <w:rFonts w:hint="eastAsia" w:ascii="仿宋_GB2312" w:hAnsi="仿宋" w:eastAsia="仿宋_GB2312" w:cs="仿宋"/>
          <w:sz w:val="32"/>
          <w:szCs w:val="32"/>
        </w:rPr>
        <w:t>杭银行机构支持我市经济社会发展考核评价结果</w:t>
      </w:r>
      <w:r>
        <w:rPr>
          <w:rFonts w:hint="eastAsia" w:ascii="仿宋_GB2312" w:hAnsi="仿宋" w:eastAsia="仿宋_GB2312" w:cs="仿宋"/>
          <w:sz w:val="32"/>
          <w:szCs w:val="32"/>
          <w:lang w:eastAsia="zh-CN"/>
        </w:rPr>
        <w:t>等</w:t>
      </w:r>
      <w:r>
        <w:rPr>
          <w:rFonts w:hint="eastAsia" w:ascii="仿宋_GB2312" w:hAnsi="仿宋_GB2312" w:eastAsia="仿宋_GB2312" w:cs="仿宋_GB2312"/>
          <w:color w:val="auto"/>
          <w:kern w:val="0"/>
          <w:sz w:val="32"/>
          <w:szCs w:val="32"/>
          <w:lang w:val="en-US" w:eastAsia="zh-CN"/>
        </w:rPr>
        <w:t>数据。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人行杭州中心支行、浙江银保监局加强对银行业金融机构参与公款竞争性存放的业务指导和监督，加强对资金存放银行运营风险的监管，并协助提供公款竞争性存放涉及的指标口径、内容和数据等。</w:t>
      </w:r>
    </w:p>
    <w:p>
      <w:pPr>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第三十一条 </w:t>
      </w:r>
      <w:r>
        <w:rPr>
          <w:rFonts w:hint="eastAsia" w:ascii="仿宋_GB2312" w:hAnsi="仿宋_GB2312" w:eastAsia="仿宋_GB2312" w:cs="仿宋_GB2312"/>
          <w:color w:val="000000"/>
          <w:kern w:val="0"/>
          <w:sz w:val="32"/>
          <w:szCs w:val="32"/>
          <w:lang w:val="en-US" w:eastAsia="zh-CN"/>
        </w:rPr>
        <w:t>各监管部门在对市级行政事业单位实施监督检查时，受检查单位应如实提供</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公款</w:t>
      </w:r>
      <w:r>
        <w:rPr>
          <w:rFonts w:hint="eastAsia" w:ascii="仿宋_GB2312" w:hAnsi="仿宋_GB2312" w:eastAsia="仿宋_GB2312" w:cs="仿宋_GB2312"/>
          <w:color w:val="000000"/>
          <w:kern w:val="0"/>
          <w:sz w:val="32"/>
          <w:szCs w:val="32"/>
          <w:lang w:val="en-US" w:eastAsia="zh-CN"/>
        </w:rPr>
        <w:t>存放情况，不得以任何理由拖延、拒绝、阻挠、隐瞒；在遵循有关法律法规情况下，有关银行应配合提供受检查市级行政事业单位资金存放及银行账户的资金收付等情况，不得隐瞒。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第三十二条 </w:t>
      </w:r>
      <w:r>
        <w:rPr>
          <w:rFonts w:hint="eastAsia" w:ascii="仿宋_GB2312" w:hAnsi="仿宋_GB2312" w:eastAsia="仿宋_GB2312" w:cs="仿宋_GB2312"/>
          <w:color w:val="000000"/>
          <w:kern w:val="0"/>
          <w:sz w:val="32"/>
          <w:szCs w:val="32"/>
          <w:lang w:val="en-US" w:eastAsia="zh-CN"/>
        </w:rPr>
        <w:t> 各监管部门在对市级行政事业单位</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公款</w:t>
      </w:r>
      <w:r>
        <w:rPr>
          <w:rFonts w:hint="eastAsia" w:ascii="仿宋_GB2312" w:hAnsi="仿宋_GB2312" w:eastAsia="仿宋_GB2312" w:cs="仿宋_GB2312"/>
          <w:color w:val="000000"/>
          <w:kern w:val="0"/>
          <w:sz w:val="32"/>
          <w:szCs w:val="32"/>
          <w:lang w:val="en-US" w:eastAsia="zh-CN"/>
        </w:rPr>
        <w:t>存放实施监督检查中，发现下列情形之一的，应责令违规单位立即纠正违规行为，对应追究市级行政事业单位和银行有关人员责任的，移送市级相关部门处理；涉嫌犯罪的，移送司法机关处理：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（一）不按本办法规定进行竞争性存放的；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（二）违反本办法第五条规定的；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（三）违反《关于防止领导干部在公款存放方面发生利益冲突和利益输送的办法》规定的；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（四）其他违反</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资金</w:t>
      </w:r>
      <w:r>
        <w:rPr>
          <w:rFonts w:hint="eastAsia" w:ascii="仿宋_GB2312" w:hAnsi="仿宋_GB2312" w:eastAsia="仿宋_GB2312" w:cs="仿宋_GB2312"/>
          <w:color w:val="000000"/>
          <w:kern w:val="0"/>
          <w:sz w:val="32"/>
          <w:szCs w:val="32"/>
          <w:lang w:val="en-US" w:eastAsia="zh-CN"/>
        </w:rPr>
        <w:t>存放管理规定的。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6" w:firstLineChars="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第三十三条 </w:t>
      </w:r>
      <w:r>
        <w:rPr>
          <w:rFonts w:hint="eastAsia" w:ascii="仿宋_GB2312" w:hAnsi="仿宋_GB2312" w:eastAsia="仿宋_GB2312" w:cs="仿宋_GB2312"/>
          <w:color w:val="000000"/>
          <w:kern w:val="0"/>
          <w:sz w:val="32"/>
          <w:szCs w:val="32"/>
          <w:lang w:val="en-US" w:eastAsia="zh-CN"/>
        </w:rPr>
        <w:t> 各市级主管部门应建立公款竞争性存放定期统计分析机制，按要求向市财政局报送本部门公款存放管理情况</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黑体" w:hAnsi="黑体" w:eastAsia="黑体" w:cs="黑体"/>
          <w:sz w:val="32"/>
          <w:szCs w:val="32"/>
          <w:lang w:eastAsia="zh-CN"/>
        </w:rPr>
        <w:t>第三十四条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color w:val="000000"/>
          <w:kern w:val="0"/>
          <w:sz w:val="32"/>
          <w:szCs w:val="32"/>
          <w:lang w:eastAsia="zh-CN"/>
        </w:rPr>
        <w:t>市级预算单位</w:t>
      </w:r>
      <w:r>
        <w:rPr>
          <w:rFonts w:hint="eastAsia" w:ascii="仿宋_GB2312" w:hAnsi="仿宋_GB2312" w:eastAsia="仿宋_GB2312" w:cs="仿宋_GB2312"/>
          <w:color w:val="000000"/>
          <w:kern w:val="0"/>
          <w:sz w:val="32"/>
          <w:szCs w:val="32"/>
        </w:rPr>
        <w:t>开立银行账户</w:t>
      </w:r>
      <w:r>
        <w:rPr>
          <w:rFonts w:hint="eastAsia" w:ascii="仿宋_GB2312" w:hAnsi="仿宋_GB2312" w:eastAsia="仿宋_GB2312" w:cs="仿宋_GB2312"/>
          <w:color w:val="000000"/>
          <w:kern w:val="0"/>
          <w:sz w:val="32"/>
          <w:szCs w:val="32"/>
          <w:lang w:eastAsia="zh-CN"/>
        </w:rPr>
        <w:t>的选择原则上</w:t>
      </w:r>
      <w:r>
        <w:rPr>
          <w:rFonts w:hint="eastAsia" w:ascii="仿宋_GB2312" w:hAnsi="仿宋_GB2312" w:eastAsia="仿宋_GB2312" w:cs="仿宋_GB2312"/>
          <w:color w:val="000000"/>
          <w:kern w:val="0"/>
          <w:sz w:val="32"/>
          <w:szCs w:val="32"/>
        </w:rPr>
        <w:t>应采取招投标方式</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市级预算单位应根据本办法和公开招标的有关法律、法规及相关制度规定组织开展招投标工作，制定具体的银行账户招投标实施办法。</w:t>
      </w:r>
      <w:r>
        <w:rPr>
          <w:rFonts w:hint="eastAsia" w:ascii="仿宋_GB2312" w:hAnsi="宋体" w:eastAsia="仿宋_GB2312"/>
          <w:color w:val="000000"/>
          <w:kern w:val="0"/>
          <w:sz w:val="32"/>
          <w:szCs w:val="32"/>
        </w:rPr>
        <w:t>不具备招投标能力的</w:t>
      </w:r>
      <w:r>
        <w:rPr>
          <w:rFonts w:hint="eastAsia" w:ascii="仿宋_GB2312" w:hAnsi="宋体" w:eastAsia="仿宋_GB2312"/>
          <w:color w:val="000000"/>
          <w:kern w:val="0"/>
          <w:sz w:val="32"/>
          <w:szCs w:val="32"/>
          <w:lang w:eastAsia="zh-CN"/>
        </w:rPr>
        <w:t>单位</w:t>
      </w:r>
      <w:r>
        <w:rPr>
          <w:rFonts w:hint="eastAsia" w:ascii="仿宋_GB2312" w:hAnsi="宋体" w:eastAsia="仿宋_GB2312"/>
          <w:color w:val="000000"/>
          <w:kern w:val="0"/>
          <w:sz w:val="32"/>
          <w:szCs w:val="32"/>
        </w:rPr>
        <w:t>由主管部门或</w:t>
      </w:r>
      <w:r>
        <w:rPr>
          <w:rFonts w:hint="eastAsia" w:ascii="仿宋_GB2312" w:eastAsia="仿宋_GB2312"/>
          <w:kern w:val="0"/>
          <w:sz w:val="32"/>
          <w:szCs w:val="32"/>
        </w:rPr>
        <w:t>委托具有资质的社会中介机</w:t>
      </w:r>
      <w:r>
        <w:rPr>
          <w:rFonts w:hint="eastAsia" w:ascii="仿宋_GB2312" w:eastAsia="仿宋_GB2312"/>
          <w:color w:val="000000" w:themeColor="text1"/>
          <w:kern w:val="0"/>
          <w:sz w:val="32"/>
          <w:szCs w:val="32"/>
          <w14:textFill>
            <w14:solidFill>
              <w14:schemeClr w14:val="tx1"/>
            </w14:solidFill>
          </w14:textFill>
        </w:rPr>
        <w:t>构</w:t>
      </w:r>
      <w:r>
        <w:rPr>
          <w:rFonts w:hint="eastAsia" w:ascii="仿宋_GB2312" w:hAnsi="宋体" w:eastAsia="仿宋_GB2312"/>
          <w:color w:val="000000" w:themeColor="text1"/>
          <w:kern w:val="0"/>
          <w:sz w:val="32"/>
          <w:szCs w:val="32"/>
          <w14:textFill>
            <w14:solidFill>
              <w14:schemeClr w14:val="tx1"/>
            </w14:solidFill>
          </w14:textFill>
        </w:rPr>
        <w:t>组织实施。</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有以下情形之一的，可采取集体决策方式选择开户银行：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（一）根据国库集中支付管理需要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在市级国库集中支付代理银行范围内选择开户的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市级预算单位零余额账户以及行政单位、全额事业单位的基本存款账户；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（二）工会费、党费、团费、食堂户等资金量较小账户；</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（三）中央、省等上级部门为开展特定业务指定开户银行的账户；</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（四）为办理贷款转存、贷款归还等与贷款有关业务而在贷款银行开立的一般存款账户；</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（五）经市政府批准可不实行招投标的其他账户。</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5"/>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采取集体决策方式选择开户银行的，应通过单位领导班子会议集体研究确定并形成会议记录，在会议记录中反映采用集体决策方式的原因、对备选银行的评比情况、会议表决情况和最终决定等。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三十五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党政机关和事业单位干部兼任负责人的社会组织</w:t>
      </w:r>
      <w:r>
        <w:rPr>
          <w:rFonts w:hint="eastAsia" w:ascii="仿宋_GB2312" w:hAnsi="仿宋_GB2312" w:eastAsia="仿宋_GB2312" w:cs="仿宋_GB2312"/>
          <w:sz w:val="32"/>
          <w:szCs w:val="32"/>
        </w:rPr>
        <w:t>的公款竞争性存放管理参照本办法执行。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执行企业会计制度的事业单位、市</w:t>
      </w:r>
      <w:r>
        <w:rPr>
          <w:rFonts w:hint="eastAsia" w:ascii="仿宋_GB2312" w:hAnsi="仿宋_GB2312" w:eastAsia="仿宋_GB2312" w:cs="仿宋_GB2312"/>
          <w:sz w:val="32"/>
          <w:szCs w:val="32"/>
        </w:rPr>
        <w:t>级主管部门下属企业的公款存放管理参照</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属国资监管企业公款存放管理的有关规定执行。</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32"/>
          <w:szCs w:val="32"/>
        </w:rPr>
      </w:pPr>
      <w:r>
        <w:rPr>
          <w:rFonts w:ascii="微软雅黑" w:hAnsi="微软雅黑" w:eastAsia="宋体" w:cs="宋体"/>
          <w:color w:val="000000"/>
          <w:kern w:val="0"/>
          <w:sz w:val="32"/>
          <w:szCs w:val="32"/>
        </w:rPr>
        <w:t>　</w:t>
      </w:r>
      <w:r>
        <w:rPr>
          <w:rFonts w:hint="eastAsia" w:ascii="微软雅黑" w:hAnsi="微软雅黑" w:eastAsia="宋体" w:cs="宋体"/>
          <w:color w:val="000000"/>
          <w:kern w:val="0"/>
          <w:sz w:val="32"/>
          <w:szCs w:val="32"/>
          <w:lang w:val="en-US" w:eastAsia="zh-CN"/>
        </w:rPr>
        <w:t xml:space="preserve">  </w:t>
      </w:r>
      <w:r>
        <w:rPr>
          <w:rFonts w:hint="eastAsia" w:ascii="黑体" w:hAnsi="黑体" w:eastAsia="黑体" w:cs="黑体"/>
          <w:b w:val="0"/>
          <w:bCs w:val="0"/>
          <w:color w:val="000000"/>
          <w:kern w:val="0"/>
          <w:sz w:val="32"/>
          <w:szCs w:val="32"/>
        </w:rPr>
        <w:t>第</w:t>
      </w:r>
      <w:r>
        <w:rPr>
          <w:rFonts w:hint="eastAsia" w:ascii="黑体" w:hAnsi="黑体" w:eastAsia="黑体" w:cs="黑体"/>
          <w:b w:val="0"/>
          <w:bCs w:val="0"/>
          <w:color w:val="000000"/>
          <w:kern w:val="0"/>
          <w:sz w:val="32"/>
          <w:szCs w:val="32"/>
          <w:lang w:eastAsia="zh-CN"/>
        </w:rPr>
        <w:t>三十六</w:t>
      </w:r>
      <w:r>
        <w:rPr>
          <w:rFonts w:hint="eastAsia" w:ascii="黑体" w:hAnsi="黑体" w:eastAsia="黑体" w:cs="黑体"/>
          <w:b w:val="0"/>
          <w:bCs w:val="0"/>
          <w:color w:val="000000"/>
          <w:kern w:val="0"/>
          <w:sz w:val="32"/>
          <w:szCs w:val="32"/>
        </w:rPr>
        <w:t>条</w:t>
      </w:r>
      <w:r>
        <w:rPr>
          <w:rFonts w:hint="eastAsia" w:ascii="仿宋_GB2312" w:hAnsi="仿宋_GB2312" w:eastAsia="仿宋_GB2312" w:cs="仿宋_GB2312"/>
          <w:color w:val="000000"/>
          <w:kern w:val="0"/>
          <w:sz w:val="32"/>
          <w:szCs w:val="32"/>
        </w:rPr>
        <w:t>  各区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县（市）可参照本办法，并结合本地区实际情况，制定本级行政事业单位公款竞争性存放管理办法，根据上级财政部门要求定期汇总报送本地区单位公款竞争性存放情况 </w:t>
      </w:r>
      <w:r>
        <w:rPr>
          <w:rFonts w:hint="eastAsia" w:ascii="仿宋_GB2312" w:hAnsi="仿宋_GB2312" w:eastAsia="仿宋_GB2312" w:cs="仿宋_GB2312"/>
          <w:color w:val="000000"/>
          <w:kern w:val="0"/>
          <w:sz w:val="32"/>
          <w:szCs w:val="32"/>
          <w:lang w:eastAsia="zh-CN"/>
        </w:rPr>
        <w:t>。</w:t>
      </w:r>
    </w:p>
    <w:p>
      <w:pPr>
        <w:pStyle w:val="12"/>
        <w:keepNext w:val="0"/>
        <w:keepLines w:val="0"/>
        <w:pageBreakBefore w:val="0"/>
        <w:numPr>
          <w:ilvl w:val="0"/>
          <w:numId w:val="0"/>
        </w:numPr>
        <w:kinsoku/>
        <w:overflowPunct/>
        <w:topLinePunct w:val="0"/>
        <w:autoSpaceDE/>
        <w:autoSpaceDN/>
        <w:bidi w:val="0"/>
        <w:adjustRightInd/>
        <w:snapToGrid/>
        <w:spacing w:before="0" w:beforeLines="0"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第三十七条</w:t>
      </w:r>
      <w:r>
        <w:rPr>
          <w:rFonts w:hint="eastAsia" w:ascii="仿宋_GB2312" w:hAnsi="仿宋_GB2312" w:eastAsia="仿宋_GB2312" w:cs="仿宋_GB2312"/>
          <w:sz w:val="32"/>
          <w:szCs w:val="32"/>
          <w:lang w:val="en-US" w:eastAsia="zh-CN"/>
        </w:rPr>
        <w:t xml:space="preserve"> 本办法由杭州市财政局负责解释。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三十八</w:t>
      </w:r>
      <w:r>
        <w:rPr>
          <w:rFonts w:hint="eastAsia" w:ascii="黑体" w:hAnsi="黑体" w:eastAsia="黑体" w:cs="黑体"/>
          <w:color w:val="000000"/>
          <w:kern w:val="0"/>
          <w:sz w:val="32"/>
          <w:szCs w:val="32"/>
        </w:rPr>
        <w:t>条</w:t>
      </w:r>
      <w:r>
        <w:rPr>
          <w:rFonts w:hint="eastAsia" w:ascii="仿宋_GB2312" w:hAnsi="仿宋_GB2312" w:eastAsia="仿宋_GB2312" w:cs="仿宋_GB2312"/>
          <w:color w:val="000000"/>
          <w:kern w:val="0"/>
          <w:sz w:val="32"/>
          <w:szCs w:val="32"/>
        </w:rPr>
        <w:t>  本办法自</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日起施行。</w:t>
      </w:r>
      <w:r>
        <w:rPr>
          <w:rFonts w:hint="eastAsia" w:ascii="仿宋_GB2312" w:hAnsi="仿宋_GB2312" w:eastAsia="仿宋_GB2312" w:cs="仿宋_GB2312"/>
          <w:color w:val="000000"/>
          <w:kern w:val="0"/>
          <w:sz w:val="32"/>
          <w:szCs w:val="32"/>
          <w:lang w:eastAsia="zh-CN"/>
        </w:rPr>
        <w:t>我市以往规定与本规定不一致的按本办法执行</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eastAsia="zh-CN"/>
        </w:rPr>
        <w:t>。</w:t>
      </w:r>
    </w:p>
    <w:p>
      <w:pPr>
        <w:rPr>
          <w:sz w:val="32"/>
          <w:szCs w:val="32"/>
        </w:rPr>
      </w:pPr>
    </w:p>
    <w:p>
      <w:pPr>
        <w:rPr>
          <w:rFonts w:hint="eastAsia"/>
          <w:sz w:val="32"/>
          <w:szCs w:val="32"/>
          <w:lang w:eastAsia="zh-CN"/>
        </w:rPr>
      </w:pPr>
    </w:p>
    <w:p>
      <w:pPr>
        <w:rPr>
          <w:rFonts w:hint="eastAsia"/>
          <w:sz w:val="32"/>
          <w:szCs w:val="32"/>
          <w:lang w:eastAsia="zh-CN"/>
        </w:rPr>
      </w:pPr>
    </w:p>
    <w:p>
      <w:pPr>
        <w:spacing w:line="560" w:lineRule="exact"/>
        <w:ind w:left="1918" w:leftChars="304" w:hanging="1280" w:hangingChars="400"/>
        <w:rPr>
          <w:rFonts w:ascii="仿宋_GB2312" w:eastAsia="仿宋_GB2312"/>
          <w:sz w:val="32"/>
          <w:szCs w:val="32"/>
        </w:rPr>
      </w:pPr>
      <w:r>
        <w:rPr>
          <w:rFonts w:hint="eastAsia" w:ascii="仿宋_GB2312" w:eastAsia="仿宋_GB2312"/>
          <w:sz w:val="32"/>
          <w:szCs w:val="32"/>
        </w:rPr>
        <w:t>附件：1.</w:t>
      </w:r>
      <w:r>
        <w:rPr>
          <w:rFonts w:hint="eastAsia" w:ascii="仿宋_GB2312" w:eastAsia="仿宋_GB2312"/>
          <w:sz w:val="32"/>
          <w:szCs w:val="32"/>
          <w:lang w:eastAsia="zh-CN"/>
        </w:rPr>
        <w:t>（</w:t>
      </w:r>
      <w:r>
        <w:rPr>
          <w:rFonts w:hint="eastAsia" w:ascii="仿宋_GB2312" w:eastAsia="仿宋_GB2312"/>
          <w:sz w:val="32"/>
          <w:szCs w:val="32"/>
          <w:lang w:val="en-US" w:eastAsia="zh-CN"/>
        </w:rPr>
        <w:t>XXXX单位XXXX年第X期公款竞争性存放</w:t>
      </w:r>
      <w:r>
        <w:rPr>
          <w:rFonts w:hint="eastAsia" w:ascii="仿宋_GB2312" w:eastAsia="仿宋_GB2312"/>
          <w:sz w:val="32"/>
          <w:szCs w:val="32"/>
          <w:lang w:eastAsia="zh-CN"/>
        </w:rPr>
        <w:t>）</w:t>
      </w:r>
      <w:r>
        <w:rPr>
          <w:rFonts w:hint="eastAsia" w:ascii="仿宋_GB2312" w:eastAsia="仿宋_GB2312"/>
          <w:sz w:val="32"/>
          <w:szCs w:val="32"/>
        </w:rPr>
        <w:t>招标公告</w:t>
      </w:r>
    </w:p>
    <w:p>
      <w:pPr>
        <w:spacing w:line="560" w:lineRule="exact"/>
        <w:ind w:firstLine="800"/>
        <w:rPr>
          <w:rFonts w:hint="eastAsia" w:ascii="仿宋_GB2312" w:eastAsia="仿宋_GB2312"/>
          <w:sz w:val="32"/>
          <w:szCs w:val="32"/>
        </w:rPr>
      </w:pPr>
      <w:r>
        <w:rPr>
          <w:rFonts w:hint="eastAsia" w:ascii="仿宋_GB2312" w:eastAsia="仿宋_GB2312"/>
          <w:sz w:val="32"/>
          <w:szCs w:val="32"/>
        </w:rPr>
        <w:t xml:space="preserve">     2.廉政承诺书 </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lang w:val="en-US" w:eastAsia="zh-CN"/>
        </w:rPr>
        <w:t>公款竞争性存放招标项目</w:t>
      </w:r>
      <w:r>
        <w:rPr>
          <w:rFonts w:hint="eastAsia" w:ascii="仿宋_GB2312" w:eastAsia="仿宋_GB2312"/>
          <w:sz w:val="32"/>
          <w:szCs w:val="32"/>
          <w:lang w:eastAsia="zh-CN"/>
        </w:rPr>
        <w:t>）</w:t>
      </w:r>
      <w:r>
        <w:rPr>
          <w:rFonts w:hint="eastAsia" w:ascii="仿宋_GB2312" w:eastAsia="仿宋_GB2312"/>
          <w:sz w:val="32"/>
          <w:szCs w:val="32"/>
        </w:rPr>
        <w:t>更正公告</w:t>
      </w:r>
    </w:p>
    <w:p>
      <w:pPr>
        <w:rPr>
          <w:rFonts w:hint="eastAsia"/>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lang w:val="en-US" w:eastAsia="zh-CN"/>
        </w:rPr>
        <w:t>公款竞争性存放招标项目</w:t>
      </w:r>
      <w:r>
        <w:rPr>
          <w:rFonts w:hint="eastAsia" w:ascii="仿宋_GB2312" w:eastAsia="仿宋_GB2312"/>
          <w:sz w:val="32"/>
          <w:szCs w:val="32"/>
          <w:lang w:eastAsia="zh-CN"/>
        </w:rPr>
        <w:t>）</w:t>
      </w:r>
      <w:r>
        <w:rPr>
          <w:rFonts w:hint="eastAsia" w:ascii="仿宋_GB2312" w:eastAsia="仿宋_GB2312"/>
          <w:sz w:val="32"/>
          <w:szCs w:val="32"/>
        </w:rPr>
        <w:t>中标公告</w:t>
      </w: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jc w:val="left"/>
        <w:rPr>
          <w:rFonts w:hint="eastAsia"/>
          <w:sz w:val="32"/>
          <w:szCs w:val="32"/>
          <w:lang w:eastAsia="zh-CN"/>
        </w:rPr>
      </w:pPr>
      <w:r>
        <w:rPr>
          <w:rFonts w:hint="eastAsia" w:ascii="黑体" w:hAnsi="黑体" w:eastAsia="黑体" w:cs="黑体"/>
          <w:sz w:val="32"/>
          <w:szCs w:val="32"/>
          <w:lang w:val="en-US" w:eastAsia="zh-CN"/>
        </w:rPr>
        <w:t>附件1</w:t>
      </w:r>
    </w:p>
    <w:p>
      <w:pPr>
        <w:snapToGrid w:val="0"/>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jc w:val="center"/>
        <w:rPr>
          <w:rFonts w:hint="eastAsia" w:ascii="方正小标宋简体" w:hAnsi="方正小标宋简体" w:eastAsia="方正小标宋简体" w:cs="方正小标宋简体"/>
          <w:b w:val="0"/>
          <w:bCs w:val="0"/>
          <w:spacing w:val="-20"/>
          <w:sz w:val="44"/>
          <w:szCs w:val="44"/>
          <w:u w:val="none"/>
          <w:lang w:val="en-US" w:eastAsia="zh-CN"/>
        </w:rPr>
      </w:pPr>
      <w:r>
        <w:rPr>
          <w:rFonts w:hint="eastAsia" w:ascii="方正小标宋简体" w:hAnsi="方正小标宋简体" w:eastAsia="方正小标宋简体" w:cs="方正小标宋简体"/>
          <w:b w:val="0"/>
          <w:bCs w:val="0"/>
          <w:spacing w:val="-20"/>
          <w:sz w:val="44"/>
          <w:szCs w:val="44"/>
          <w:u w:val="none"/>
          <w:lang w:val="en-US" w:eastAsia="zh-CN"/>
        </w:rPr>
        <w:t>（XXXX单位XXXX年第X期公款竞争性存放）</w:t>
      </w:r>
    </w:p>
    <w:p>
      <w:pPr>
        <w:jc w:val="center"/>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招标公告</w:t>
      </w:r>
    </w:p>
    <w:p>
      <w:pPr>
        <w:snapToGrid w:val="0"/>
        <w:spacing w:line="560" w:lineRule="exact"/>
        <w:ind w:firstLine="0" w:firstLineChars="0"/>
        <w:jc w:val="center"/>
        <w:rPr>
          <w:rFonts w:hint="eastAsia" w:ascii="仿宋_GB2312" w:hAnsi="仿宋_GB2312" w:eastAsia="仿宋_GB2312" w:cs="仿宋_GB2312"/>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根据《关于防止领导干部在公款存放方面发生利益冲突和利益输送的办法》(浙委办发〔2015〕8号)、《杭州市市级行政事业单位公款竞争性存放管理办法》</w:t>
      </w:r>
      <w:r>
        <w:rPr>
          <w:rFonts w:hint="eastAsia" w:ascii="Times New Roman" w:hAnsi="Times New Roman" w:cs="仿宋_GB2312"/>
          <w:sz w:val="32"/>
          <w:szCs w:val="32"/>
          <w:lang w:val="en-US" w:eastAsia="zh-CN"/>
        </w:rPr>
        <w:t>（  ）</w:t>
      </w:r>
      <w:r>
        <w:rPr>
          <w:rFonts w:hint="eastAsia" w:ascii="Times New Roman" w:hAnsi="Times New Roman" w:eastAsia="仿宋_GB2312" w:cs="仿宋_GB2312"/>
          <w:b w:val="0"/>
          <w:bCs/>
          <w:sz w:val="32"/>
          <w:szCs w:val="32"/>
          <w:lang w:val="en-US" w:eastAsia="zh-CN"/>
        </w:rPr>
        <w:t>规定</w:t>
      </w:r>
      <w:r>
        <w:rPr>
          <w:rFonts w:hint="eastAsia" w:ascii="Times New Roman" w:hAnsi="Times New Roman" w:eastAsia="仿宋_GB2312" w:cs="仿宋_GB2312"/>
          <w:sz w:val="32"/>
          <w:szCs w:val="32"/>
          <w:lang w:val="en-US" w:eastAsia="zh-CN"/>
        </w:rPr>
        <w:t>，</w:t>
      </w:r>
      <w:r>
        <w:rPr>
          <w:rFonts w:hint="eastAsia" w:ascii="仿宋_GB2312" w:hAnsi="黑体" w:eastAsia="仿宋_GB2312" w:cs="仿宋_GB2312"/>
          <w:sz w:val="32"/>
          <w:szCs w:val="32"/>
        </w:rPr>
        <w:t>决定开展公款</w:t>
      </w:r>
      <w:r>
        <w:rPr>
          <w:rFonts w:hint="eastAsia" w:ascii="仿宋_GB2312" w:hAnsi="黑体" w:eastAsia="仿宋_GB2312" w:cs="仿宋_GB2312"/>
          <w:sz w:val="32"/>
          <w:szCs w:val="32"/>
          <w:lang w:eastAsia="zh-CN"/>
        </w:rPr>
        <w:t>存放</w:t>
      </w:r>
      <w:r>
        <w:rPr>
          <w:rFonts w:hint="eastAsia" w:ascii="仿宋_GB2312" w:hAnsi="黑体" w:eastAsia="仿宋_GB2312" w:cs="仿宋_GB2312"/>
          <w:sz w:val="32"/>
          <w:szCs w:val="32"/>
        </w:rPr>
        <w:t>招标工作</w:t>
      </w:r>
      <w:r>
        <w:rPr>
          <w:rFonts w:hint="eastAsia" w:ascii="Times New Roman" w:hAnsi="Times New Roman" w:eastAsia="仿宋_GB2312" w:cs="仿宋_GB2312"/>
          <w:sz w:val="32"/>
          <w:szCs w:val="32"/>
          <w:lang w:val="en-US" w:eastAsia="zh-CN"/>
        </w:rPr>
        <w:t>，欢迎符合条件的银行机构参加投标。</w:t>
      </w:r>
    </w:p>
    <w:p>
      <w:pPr>
        <w:numPr>
          <w:ilvl w:val="0"/>
          <w:numId w:val="0"/>
        </w:numPr>
        <w:rPr>
          <w:rFonts w:hint="eastAsia" w:ascii="Times New Roman" w:hAnsi="Times New Roman" w:eastAsia="黑体" w:cs="黑体"/>
          <w:b w:val="0"/>
          <w:bCs w:val="0"/>
          <w:sz w:val="32"/>
          <w:szCs w:val="32"/>
          <w:lang w:val="en-US" w:eastAsia="zh-CN"/>
        </w:rPr>
      </w:pP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黑体" w:cs="黑体"/>
          <w:b w:val="0"/>
          <w:bCs w:val="0"/>
          <w:sz w:val="32"/>
          <w:szCs w:val="32"/>
          <w:lang w:val="en-US" w:eastAsia="zh-CN"/>
        </w:rPr>
        <w:t xml:space="preserve">  一、招标人名称</w:t>
      </w:r>
    </w:p>
    <w:p>
      <w:pPr>
        <w:numPr>
          <w:ilvl w:val="0"/>
          <w:numId w:val="0"/>
        </w:numPr>
        <w:rPr>
          <w:rFonts w:hint="eastAsia" w:ascii="Times New Roman" w:hAnsi="Times New Roman" w:eastAsia="仿宋_GB2312" w:cs="仿宋_GB2312"/>
          <w:b w:val="0"/>
          <w:bCs w:val="0"/>
          <w:sz w:val="32"/>
          <w:szCs w:val="32"/>
          <w:lang w:val="en-US" w:eastAsia="zh-CN"/>
        </w:rPr>
      </w:pPr>
      <w:r>
        <w:rPr>
          <w:rFonts w:hint="eastAsia" w:ascii="Times New Roman" w:hAnsi="Times New Roman" w:eastAsia="黑体" w:cs="黑体"/>
          <w:b w:val="0"/>
          <w:bCs w:val="0"/>
          <w:sz w:val="32"/>
          <w:szCs w:val="32"/>
          <w:lang w:val="en-US" w:eastAsia="zh-CN"/>
        </w:rPr>
        <w:t xml:space="preserve">    二、招标项目名称</w:t>
      </w:r>
    </w:p>
    <w:p>
      <w:pPr>
        <w:numPr>
          <w:ilvl w:val="0"/>
          <w:numId w:val="0"/>
        </w:numPr>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XXXX单位XXXX年第X期公款竞争性存放招标。</w:t>
      </w:r>
    </w:p>
    <w:p>
      <w:pPr>
        <w:numPr>
          <w:ilvl w:val="0"/>
          <w:numId w:val="0"/>
        </w:numPr>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黑体" w:cs="黑体"/>
          <w:b w:val="0"/>
          <w:bCs w:val="0"/>
          <w:sz w:val="32"/>
          <w:szCs w:val="32"/>
          <w:lang w:val="en-US" w:eastAsia="zh-CN"/>
        </w:rPr>
        <w:t>三、项目编号</w:t>
      </w:r>
    </w:p>
    <w:p>
      <w:pPr>
        <w:numPr>
          <w:ilvl w:val="0"/>
          <w:numId w:val="0"/>
        </w:numPr>
        <w:rPr>
          <w:rFonts w:hint="eastAsia" w:ascii="Times New Roman" w:hAnsi="Times New Roman" w:eastAsia="仿宋_GB2312" w:cs="仿宋_GB2312"/>
          <w:b w:val="0"/>
          <w:bCs w:val="0"/>
          <w:sz w:val="32"/>
          <w:szCs w:val="32"/>
          <w:lang w:val="en-US" w:eastAsia="zh-CN"/>
        </w:rPr>
      </w:pPr>
      <w:r>
        <w:rPr>
          <w:rFonts w:hint="eastAsia" w:ascii="Times New Roman" w:hAnsi="Times New Roman" w:cs="仿宋_GB2312"/>
          <w:b w:val="0"/>
          <w:bCs w:val="0"/>
          <w:sz w:val="32"/>
          <w:szCs w:val="32"/>
          <w:lang w:val="en-US" w:eastAsia="zh-CN"/>
        </w:rPr>
        <w:t xml:space="preserve">    </w:t>
      </w:r>
      <w:r>
        <w:rPr>
          <w:rFonts w:hint="eastAsia" w:ascii="Times New Roman" w:hAnsi="Times New Roman" w:eastAsia="黑体" w:cs="黑体"/>
          <w:b w:val="0"/>
          <w:bCs w:val="0"/>
          <w:sz w:val="32"/>
          <w:szCs w:val="32"/>
          <w:lang w:val="en-US" w:eastAsia="zh-CN"/>
        </w:rPr>
        <w:t>四、招标项目内容</w:t>
      </w:r>
    </w:p>
    <w:p>
      <w:pPr>
        <w:numPr>
          <w:ilvl w:val="0"/>
          <w:numId w:val="0"/>
        </w:numPr>
        <w:ind w:left="0" w:leftChars="0"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sz w:val="32"/>
          <w:szCs w:val="32"/>
          <w:lang w:val="en-US" w:eastAsia="zh-CN"/>
        </w:rPr>
        <w:t>XXXX单位公款</w:t>
      </w:r>
      <w:r>
        <w:rPr>
          <w:rFonts w:hint="eastAsia" w:ascii="仿宋_GB2312" w:hAnsi="仿宋_GB2312" w:eastAsia="仿宋_GB2312" w:cs="仿宋_GB2312"/>
          <w:sz w:val="32"/>
          <w:szCs w:val="32"/>
          <w:u w:val="single" w:color="auto"/>
          <w:lang w:val="en-US" w:eastAsia="zh-CN"/>
        </w:rPr>
        <w:t xml:space="preserve">  （金额）</w:t>
      </w:r>
      <w:r>
        <w:rPr>
          <w:rFonts w:hint="eastAsia" w:ascii="仿宋_GB2312" w:hAnsi="仿宋_GB2312" w:eastAsia="仿宋_GB2312" w:cs="仿宋_GB2312"/>
          <w:color w:val="000000"/>
          <w:kern w:val="0"/>
          <w:sz w:val="32"/>
          <w:szCs w:val="32"/>
          <w:u w:val="single" w:color="auto"/>
          <w:lang w:val="en-US" w:eastAsia="zh-CN"/>
        </w:rPr>
        <w:t xml:space="preserve">  </w:t>
      </w:r>
      <w:r>
        <w:rPr>
          <w:rFonts w:hint="eastAsia" w:ascii="仿宋_GB2312" w:hAnsi="仿宋_GB2312" w:eastAsia="仿宋_GB2312" w:cs="仿宋_GB2312"/>
          <w:color w:val="000000"/>
          <w:sz w:val="32"/>
          <w:szCs w:val="32"/>
        </w:rPr>
        <w:t>定期存款</w:t>
      </w:r>
      <w:r>
        <w:rPr>
          <w:rFonts w:hint="eastAsia" w:ascii="仿宋_GB2312" w:hAnsi="仿宋_GB2312" w:eastAsia="仿宋_GB2312" w:cs="仿宋_GB2312"/>
          <w:color w:val="000000"/>
          <w:kern w:val="0"/>
          <w:sz w:val="32"/>
          <w:szCs w:val="32"/>
          <w:u w:val="single" w:color="auto"/>
          <w:lang w:val="en-US" w:eastAsia="zh-CN"/>
        </w:rPr>
        <w:t>(期限)</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p>
    <w:p>
      <w:pPr>
        <w:numPr>
          <w:ilvl w:val="0"/>
          <w:numId w:val="0"/>
        </w:numPr>
        <w:ind w:left="0" w:leftChars="0" w:firstLine="0" w:firstLineChars="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黑体" w:cs="黑体"/>
          <w:b w:val="0"/>
          <w:bCs w:val="0"/>
          <w:sz w:val="32"/>
          <w:szCs w:val="32"/>
          <w:lang w:val="en-US" w:eastAsia="zh-CN"/>
        </w:rPr>
        <w:t>五、投标人资格要求</w:t>
      </w:r>
    </w:p>
    <w:p>
      <w:pPr>
        <w:keepNext w:val="0"/>
        <w:keepLines w:val="0"/>
        <w:pageBreakBefore w:val="0"/>
        <w:numPr>
          <w:ilvl w:val="0"/>
          <w:numId w:val="0"/>
        </w:numPr>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投标人应符合《杭州市市级行政事业单位公款竞争性存放管理办法》第十五条规定，具备承担招标项目的能力，具体包括：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（一）在市级行政事业单位所在同城设有分支机构；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（二）依法开展经营活动，近3年内在经营活动中无重大违法违规记录及重大违约事件；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（三）纳入人民银行综合评价的银行，人民银行上年度综合评价应达到B级及以上，不纳入人民银行综合评价范围的银行不受此限制。</w:t>
      </w:r>
    </w:p>
    <w:p>
      <w:pPr>
        <w:keepNext w:val="0"/>
        <w:keepLines w:val="0"/>
        <w:pageBreakBefore w:val="0"/>
        <w:numPr>
          <w:ilvl w:val="0"/>
          <w:numId w:val="0"/>
        </w:numPr>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w:t>
      </w:r>
    </w:p>
    <w:p>
      <w:pPr>
        <w:numPr>
          <w:ilvl w:val="0"/>
          <w:numId w:val="0"/>
        </w:numPr>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黑体" w:cs="黑体"/>
          <w:b w:val="0"/>
          <w:bCs w:val="0"/>
          <w:sz w:val="32"/>
          <w:szCs w:val="32"/>
          <w:lang w:val="en-US" w:eastAsia="zh-CN"/>
        </w:rPr>
        <w:t>六、投标报名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leftChars="0" w:right="0" w:rightChars="0" w:firstLine="42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（一）报名时间：(注明起止时间)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leftChars="0" w:right="0" w:rightChars="0" w:firstLine="42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（二）报名方式：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leftChars="0" w:right="0" w:rightChars="0" w:firstLine="42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（三）招标文件获取方式：(在指定网址下载或在线查看招标文件)</w:t>
      </w:r>
    </w:p>
    <w:p>
      <w:pPr>
        <w:numPr>
          <w:ilvl w:val="0"/>
          <w:numId w:val="0"/>
        </w:numPr>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黑体" w:cs="黑体"/>
          <w:b w:val="0"/>
          <w:bCs w:val="0"/>
          <w:sz w:val="32"/>
          <w:szCs w:val="32"/>
          <w:lang w:val="en-US" w:eastAsia="zh-CN"/>
        </w:rPr>
        <w:t>七、</w:t>
      </w:r>
      <w:r>
        <w:rPr>
          <w:rFonts w:hint="eastAsia" w:ascii="Times New Roman" w:hAnsi="Times New Roman" w:eastAsia="黑体" w:cs="黑体"/>
          <w:b w:val="0"/>
          <w:bCs w:val="0"/>
          <w:color w:val="000000" w:themeColor="text1"/>
          <w:sz w:val="32"/>
          <w:szCs w:val="32"/>
          <w:lang w:val="en-US" w:eastAsia="zh-CN"/>
          <w14:textFill>
            <w14:solidFill>
              <w14:schemeClr w14:val="tx1"/>
            </w14:solidFill>
          </w14:textFill>
        </w:rPr>
        <w:t>投标起止时间及方式</w:t>
      </w:r>
    </w:p>
    <w:p>
      <w:pPr>
        <w:numPr>
          <w:ilvl w:val="0"/>
          <w:numId w:val="0"/>
        </w:numPr>
        <w:ind w:left="0" w:leftChars="0" w:firstLine="640" w:firstLineChars="200"/>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(注明日期及时点)</w:t>
      </w:r>
    </w:p>
    <w:p>
      <w:pPr>
        <w:numPr>
          <w:ilvl w:val="0"/>
          <w:numId w:val="0"/>
        </w:numPr>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黑体" w:cs="黑体"/>
          <w:b w:val="0"/>
          <w:bCs w:val="0"/>
          <w:sz w:val="32"/>
          <w:szCs w:val="32"/>
          <w:lang w:val="en-US" w:eastAsia="zh-CN"/>
        </w:rPr>
        <w:t>八、开标时间及地点</w:t>
      </w:r>
    </w:p>
    <w:p>
      <w:pPr>
        <w:numPr>
          <w:ilvl w:val="0"/>
          <w:numId w:val="0"/>
        </w:numPr>
        <w:ind w:left="0" w:leftChars="0"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val="0"/>
          <w:bCs w:val="0"/>
          <w:sz w:val="32"/>
          <w:szCs w:val="32"/>
          <w:lang w:val="en-US" w:eastAsia="zh-CN"/>
        </w:rPr>
        <w:t>(注明日期及时点，详细地点)</w:t>
      </w:r>
    </w:p>
    <w:p>
      <w:pPr>
        <w:numPr>
          <w:ilvl w:val="0"/>
          <w:numId w:val="0"/>
        </w:numPr>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黑体" w:cs="黑体"/>
          <w:b w:val="0"/>
          <w:bCs w:val="0"/>
          <w:sz w:val="32"/>
          <w:szCs w:val="32"/>
          <w:lang w:val="en-US" w:eastAsia="zh-CN"/>
        </w:rPr>
        <w:t>九、联系方式</w:t>
      </w:r>
    </w:p>
    <w:p>
      <w:pPr>
        <w:numPr>
          <w:ilvl w:val="0"/>
          <w:numId w:val="0"/>
        </w:numPr>
        <w:ind w:firstLine="640" w:firstLineChars="200"/>
        <w:jc w:val="both"/>
        <w:rPr>
          <w:rFonts w:hint="eastAsia" w:ascii="仿宋_GB2312" w:eastAsia="仿宋_GB2312"/>
          <w:sz w:val="32"/>
          <w:szCs w:val="32"/>
        </w:rPr>
      </w:pPr>
      <w:r>
        <w:rPr>
          <w:rFonts w:hint="eastAsia" w:ascii="Times New Roman" w:hAnsi="Times New Roman" w:eastAsia="仿宋_GB2312" w:cs="仿宋_GB2312"/>
          <w:b w:val="0"/>
          <w:bCs w:val="0"/>
          <w:sz w:val="32"/>
          <w:szCs w:val="32"/>
          <w:lang w:val="en-US" w:eastAsia="zh-CN"/>
        </w:rPr>
        <w:t>(注明联系人姓名、电话、传真及地址等信息)</w:t>
      </w:r>
      <w:r>
        <w:rPr>
          <w:rFonts w:hint="eastAsia" w:ascii="仿宋_GB2312" w:eastAsia="仿宋_GB2312"/>
          <w:sz w:val="32"/>
          <w:szCs w:val="32"/>
        </w:rPr>
        <w:br w:type="page"/>
      </w:r>
    </w:p>
    <w:p>
      <w:pPr>
        <w:jc w:val="left"/>
        <w:rPr>
          <w:rFonts w:hint="eastAsia" w:ascii="仿宋_GB2312" w:eastAsia="仿宋_GB2312"/>
          <w:sz w:val="32"/>
          <w:szCs w:val="32"/>
          <w:lang w:val="en-US" w:eastAsia="zh-CN"/>
        </w:rPr>
      </w:pPr>
      <w:r>
        <w:rPr>
          <w:rFonts w:hint="eastAsia" w:ascii="黑体" w:hAnsi="黑体" w:eastAsia="黑体" w:cs="黑体"/>
          <w:sz w:val="32"/>
          <w:szCs w:val="32"/>
          <w:lang w:val="en-US" w:eastAsia="zh-CN"/>
        </w:rPr>
        <w:t>附件2</w:t>
      </w:r>
    </w:p>
    <w:p>
      <w:pPr>
        <w:numPr>
          <w:ilvl w:val="0"/>
          <w:numId w:val="0"/>
        </w:numPr>
        <w:ind w:firstLine="640" w:firstLineChars="200"/>
        <w:jc w:val="center"/>
        <w:rPr>
          <w:rFonts w:hint="eastAsia" w:ascii="仿宋_GB2312" w:eastAsia="仿宋_GB2312"/>
          <w:sz w:val="32"/>
          <w:szCs w:val="32"/>
        </w:rPr>
      </w:pP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廉政承诺书</w:t>
      </w:r>
    </w:p>
    <w:p>
      <w:pPr>
        <w:spacing w:line="500" w:lineRule="exact"/>
        <w:jc w:val="center"/>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部门（单位）：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ascii="仿宋_GB2312" w:hAnsi="仿宋"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根据《财政部关于进一步加强财政部门和预算单位资金存放管理的指导意见》（财库〔2017〕76号）</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杭州市级行政事业单位公款竞争性存放管理办法</w:t>
      </w:r>
      <w:r>
        <w:rPr>
          <w:rFonts w:hint="eastAsia" w:ascii="仿宋_GB2312" w:hAnsi="仿宋" w:eastAsia="仿宋_GB2312" w:cs="仿宋_GB2312"/>
          <w:sz w:val="32"/>
          <w:szCs w:val="32"/>
        </w:rPr>
        <w:t>》（）相关规定，现就本行参加贵单位</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年第</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期</w:t>
      </w:r>
      <w:r>
        <w:rPr>
          <w:rFonts w:hint="eastAsia" w:ascii="Times New Roman" w:hAnsi="Times New Roman" w:eastAsia="仿宋_GB2312" w:cs="仿宋_GB2312"/>
          <w:sz w:val="32"/>
          <w:szCs w:val="32"/>
          <w:lang w:eastAsia="zh-CN"/>
        </w:rPr>
        <w:t>公款</w:t>
      </w:r>
      <w:r>
        <w:rPr>
          <w:rFonts w:hint="eastAsia" w:ascii="Times New Roman" w:hAnsi="Times New Roman" w:eastAsia="仿宋_GB2312" w:cs="仿宋_GB2312"/>
          <w:sz w:val="32"/>
          <w:szCs w:val="32"/>
        </w:rPr>
        <w:t>竞争性存放作出如下承诺</w:t>
      </w:r>
      <w:r>
        <w:rPr>
          <w:rFonts w:hint="eastAsia" w:ascii="仿宋_GB2312" w:hAnsi="仿宋"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 xml:space="preserve">    1.不向贵单位负责公款存放管理的领导及相关人员进行利益输送；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 w:eastAsia="仿宋_GB2312" w:cs="仿宋_GB2312"/>
          <w:sz w:val="32"/>
          <w:szCs w:val="32"/>
        </w:rPr>
        <w:t>2.不将公款存放与贵单位负责公款存放管理的领导及相关</w:t>
      </w:r>
      <w:r>
        <w:rPr>
          <w:rFonts w:hint="eastAsia" w:ascii="仿宋_GB2312" w:hAnsi="仿宋_GB2312" w:eastAsia="仿宋_GB2312" w:cs="仿宋_GB2312"/>
          <w:sz w:val="32"/>
          <w:szCs w:val="32"/>
        </w:rPr>
        <w:t>人员在本行</w:t>
      </w:r>
      <w:r>
        <w:rPr>
          <w:rFonts w:hint="eastAsia" w:ascii="仿宋_GB2312" w:hAnsi="仿宋" w:eastAsia="仿宋_GB2312" w:cs="仿宋"/>
          <w:sz w:val="32"/>
          <w:szCs w:val="32"/>
        </w:rPr>
        <w:t>的配偶、子女及其配偶和其他直接利益相关人员</w:t>
      </w:r>
      <w:r>
        <w:rPr>
          <w:rFonts w:hint="eastAsia" w:ascii="仿宋_GB2312" w:hAnsi="仿宋_GB2312" w:eastAsia="仿宋_GB2312" w:cs="仿宋_GB2312"/>
          <w:sz w:val="32"/>
          <w:szCs w:val="32"/>
        </w:rPr>
        <w:t>的业绩、收入、晋升等利益挂钩；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 w:eastAsia="仿宋_GB2312" w:cs="仿宋"/>
          <w:sz w:val="32"/>
          <w:szCs w:val="32"/>
        </w:rPr>
        <w:t>严格执行</w:t>
      </w:r>
      <w:r>
        <w:rPr>
          <w:rFonts w:hint="eastAsia" w:ascii="仿宋_GB2312" w:hAnsi="仿宋" w:eastAsia="仿宋_GB2312" w:cs="仿宋_GB2312"/>
          <w:sz w:val="32"/>
          <w:szCs w:val="32"/>
        </w:rPr>
        <w:t>利益回避制度，贵单位负责公款竞争性存放相关人员的配偶、子女及其配偶和其他直接利益相关人员为本行工作人员的，不参与公款竞争性存放工作；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4.不发生除上述行为之外的其他任何利益输送行为。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 w:eastAsia="仿宋_GB2312" w:cs="仿宋_GB2312"/>
          <w:sz w:val="32"/>
          <w:szCs w:val="32"/>
        </w:rPr>
        <w:t>未遵守以上承诺的，本行自愿接受财</w:t>
      </w:r>
      <w:r>
        <w:rPr>
          <w:rFonts w:hint="eastAsia" w:ascii="仿宋_GB2312" w:hAnsi="仿宋_GB2312" w:eastAsia="仿宋_GB2312" w:cs="仿宋_GB2312"/>
          <w:sz w:val="32"/>
          <w:szCs w:val="32"/>
        </w:rPr>
        <w:t>政部</w:t>
      </w:r>
      <w:r>
        <w:rPr>
          <w:rFonts w:hint="eastAsia" w:ascii="仿宋_GB2312" w:hAnsi="仿宋" w:eastAsia="仿宋_GB2312" w:cs="仿宋_GB2312"/>
          <w:sz w:val="32"/>
          <w:szCs w:val="32"/>
        </w:rPr>
        <w:t>门处</w:t>
      </w:r>
      <w:r>
        <w:rPr>
          <w:rFonts w:hint="eastAsia" w:ascii="仿宋_GB2312" w:hAnsi="仿宋_GB2312" w:eastAsia="仿宋_GB2312" w:cs="仿宋_GB2312"/>
          <w:sz w:val="32"/>
          <w:szCs w:val="32"/>
        </w:rPr>
        <w:t>理，承担相应的一切后果。</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0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银行（公章）</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rPr>
          <w:rFonts w:hint="eastAsia"/>
          <w:sz w:val="32"/>
          <w:szCs w:val="32"/>
          <w:lang w:val="en-US" w:eastAsia="zh-CN"/>
        </w:rPr>
      </w:pPr>
    </w:p>
    <w:p>
      <w:pPr>
        <w:rPr>
          <w:rFonts w:hint="eastAsia"/>
          <w:sz w:val="32"/>
          <w:szCs w:val="32"/>
          <w:lang w:val="en-US" w:eastAsia="zh-CN"/>
        </w:rPr>
      </w:pPr>
    </w:p>
    <w:p>
      <w:pPr>
        <w:spacing w:line="50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numPr>
          <w:ilvl w:val="0"/>
          <w:numId w:val="0"/>
        </w:numPr>
        <w:jc w:val="center"/>
        <w:rPr>
          <w:rFonts w:hint="eastAsia" w:ascii="黑体" w:hAnsi="黑体" w:eastAsia="黑体" w:cs="方正小标宋简体"/>
          <w:sz w:val="44"/>
          <w:szCs w:val="44"/>
          <w:u w:val="none"/>
          <w:lang w:eastAsia="zh-CN"/>
        </w:rPr>
      </w:pPr>
    </w:p>
    <w:p>
      <w:pPr>
        <w:numPr>
          <w:ilvl w:val="0"/>
          <w:numId w:val="0"/>
        </w:numPr>
        <w:jc w:val="center"/>
        <w:rPr>
          <w:rFonts w:ascii="黑体" w:hAnsi="黑体" w:eastAsia="黑体" w:cs="方正小标宋简体"/>
          <w:sz w:val="44"/>
          <w:szCs w:val="44"/>
          <w:u w:val="none"/>
        </w:rPr>
      </w:pPr>
      <w:r>
        <w:rPr>
          <w:rFonts w:hint="eastAsia" w:ascii="黑体" w:hAnsi="黑体" w:eastAsia="黑体" w:cs="方正小标宋简体"/>
          <w:sz w:val="44"/>
          <w:szCs w:val="44"/>
          <w:u w:val="none"/>
          <w:lang w:eastAsia="zh-CN"/>
        </w:rPr>
        <w:t>（</w:t>
      </w:r>
      <w:r>
        <w:rPr>
          <w:rFonts w:hint="eastAsia" w:ascii="黑体" w:hAnsi="黑体" w:eastAsia="黑体" w:cs="方正小标宋简体"/>
          <w:sz w:val="44"/>
          <w:szCs w:val="44"/>
          <w:u w:val="none"/>
          <w:lang w:val="en-US" w:eastAsia="zh-CN"/>
        </w:rPr>
        <w:t>公款竞争性存放招标项目</w:t>
      </w:r>
      <w:r>
        <w:rPr>
          <w:rFonts w:hint="eastAsia" w:ascii="黑体" w:hAnsi="黑体" w:eastAsia="黑体" w:cs="方正小标宋简体"/>
          <w:sz w:val="44"/>
          <w:szCs w:val="44"/>
          <w:u w:val="none"/>
          <w:lang w:eastAsia="zh-CN"/>
        </w:rPr>
        <w:t>）</w:t>
      </w:r>
      <w:r>
        <w:rPr>
          <w:rFonts w:hint="eastAsia" w:ascii="黑体" w:hAnsi="黑体" w:eastAsia="黑体" w:cs="方正小标宋简体"/>
          <w:sz w:val="44"/>
          <w:szCs w:val="44"/>
          <w:u w:val="none"/>
        </w:rPr>
        <w:t>更正公告</w:t>
      </w:r>
    </w:p>
    <w:p>
      <w:pPr>
        <w:jc w:val="center"/>
        <w:rPr>
          <w:rFonts w:ascii="黑体" w:hAnsi="黑体" w:eastAsia="黑体" w:cs="黑体"/>
          <w:sz w:val="44"/>
          <w:szCs w:val="44"/>
          <w:u w:val="none"/>
        </w:rPr>
      </w:pP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招标人名称</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招标项目名称</w:t>
      </w:r>
    </w:p>
    <w:p>
      <w:pPr>
        <w:numPr>
          <w:ilvl w:val="0"/>
          <w:numId w:val="0"/>
        </w:numPr>
        <w:snapToGrid w:val="0"/>
        <w:spacing w:line="560" w:lineRule="exact"/>
        <w:ind w:firstLine="640" w:firstLineChars="200"/>
        <w:jc w:val="left"/>
        <w:rPr>
          <w:rFonts w:hint="eastAsia" w:ascii="Times New Roman" w:hAnsi="Times New Roman" w:eastAsia="仿宋_GB2312" w:cs="仿宋_GB2312"/>
          <w:sz w:val="32"/>
          <w:szCs w:val="32"/>
          <w:lang w:val="en-US" w:eastAsia="zh-CN"/>
        </w:rPr>
      </w:pPr>
      <w:r>
        <w:rPr>
          <w:rFonts w:hint="eastAsia" w:ascii="仿宋_GB2312" w:hAnsi="仿宋_GB2312" w:eastAsia="仿宋_GB2312" w:cs="仿宋_GB2312"/>
          <w:sz w:val="32"/>
          <w:szCs w:val="32"/>
          <w:lang w:val="en-US" w:eastAsia="zh-CN"/>
        </w:rPr>
        <w:t>XXXX单位XXXX年第X期公款竞争性存放招标</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原招标公告发布日期</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更正理由</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更正事项</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六、联系方式</w:t>
      </w:r>
    </w:p>
    <w:p>
      <w:pPr>
        <w:rPr>
          <w:rFonts w:hint="eastAsia"/>
          <w:sz w:val="32"/>
          <w:szCs w:val="32"/>
          <w:lang w:val="en-US" w:eastAsia="zh-CN"/>
        </w:rPr>
      </w:pPr>
      <w:r>
        <w:rPr>
          <w:rFonts w:hint="eastAsia" w:ascii="仿宋_GB2312" w:hAnsi="仿宋_GB2312" w:eastAsia="仿宋_GB2312" w:cs="仿宋_GB2312"/>
          <w:sz w:val="32"/>
          <w:szCs w:val="32"/>
        </w:rPr>
        <w:br w:type="page"/>
      </w:r>
    </w:p>
    <w:p>
      <w:pPr>
        <w:rPr>
          <w:rFonts w:hint="eastAsia"/>
          <w:sz w:val="32"/>
          <w:szCs w:val="32"/>
          <w:lang w:val="en-US" w:eastAsia="zh-CN"/>
        </w:rPr>
      </w:pPr>
    </w:p>
    <w:p>
      <w:pPr>
        <w:jc w:val="left"/>
        <w:rPr>
          <w:rFonts w:hint="eastAsia" w:ascii="仿宋_GB2312" w:eastAsia="仿宋_GB2312"/>
          <w:sz w:val="32"/>
          <w:szCs w:val="32"/>
          <w:lang w:val="en-US" w:eastAsia="zh-CN"/>
        </w:rPr>
      </w:pPr>
      <w:r>
        <w:rPr>
          <w:rFonts w:hint="eastAsia" w:ascii="黑体" w:hAnsi="黑体" w:eastAsia="黑体" w:cs="黑体"/>
          <w:sz w:val="32"/>
          <w:szCs w:val="32"/>
          <w:lang w:val="en-US" w:eastAsia="zh-CN"/>
        </w:rPr>
        <w:t>附件4</w:t>
      </w:r>
    </w:p>
    <w:p>
      <w:pPr>
        <w:jc w:val="center"/>
        <w:rPr>
          <w:rFonts w:hint="eastAsia" w:ascii="方正小标宋简体" w:hAnsi="方正小标宋简体" w:eastAsia="方正小标宋简体" w:cs="方正小标宋简体"/>
          <w:sz w:val="44"/>
          <w:szCs w:val="44"/>
          <w:lang w:val="en-US" w:eastAsia="zh-CN"/>
        </w:rPr>
      </w:pPr>
      <w:r>
        <w:rPr>
          <w:rFonts w:hint="eastAsia" w:ascii="黑体" w:hAnsi="黑体" w:eastAsia="黑体" w:cs="方正小标宋简体"/>
          <w:sz w:val="44"/>
          <w:szCs w:val="44"/>
          <w:u w:val="none"/>
          <w:lang w:eastAsia="zh-CN"/>
        </w:rPr>
        <w:t>（</w:t>
      </w:r>
      <w:r>
        <w:rPr>
          <w:rFonts w:hint="eastAsia" w:ascii="黑体" w:hAnsi="黑体" w:eastAsia="黑体" w:cs="方正小标宋简体"/>
          <w:sz w:val="44"/>
          <w:szCs w:val="44"/>
          <w:u w:val="none"/>
          <w:lang w:val="en-US" w:eastAsia="zh-CN"/>
        </w:rPr>
        <w:t>公款竞争性存放招标项目</w:t>
      </w:r>
      <w:r>
        <w:rPr>
          <w:rFonts w:hint="eastAsia" w:ascii="黑体" w:hAnsi="黑体" w:eastAsia="黑体" w:cs="方正小标宋简体"/>
          <w:sz w:val="44"/>
          <w:szCs w:val="44"/>
          <w:u w:val="none"/>
          <w:lang w:eastAsia="zh-CN"/>
        </w:rPr>
        <w:t>）</w:t>
      </w:r>
      <w:r>
        <w:rPr>
          <w:rFonts w:hint="eastAsia" w:ascii="方正小标宋简体" w:hAnsi="方正小标宋简体" w:eastAsia="方正小标宋简体" w:cs="方正小标宋简体"/>
          <w:sz w:val="44"/>
          <w:szCs w:val="44"/>
          <w:lang w:val="en-US" w:eastAsia="zh-CN"/>
        </w:rPr>
        <w:t>中标公告</w:t>
      </w:r>
    </w:p>
    <w:p>
      <w:pPr>
        <w:jc w:val="center"/>
        <w:rPr>
          <w:rFonts w:hint="eastAsia" w:ascii="黑体" w:hAnsi="黑体" w:eastAsia="黑体" w:cs="黑体"/>
          <w:sz w:val="44"/>
          <w:szCs w:val="44"/>
          <w:lang w:val="en-US" w:eastAsia="zh-CN"/>
        </w:rPr>
      </w:pPr>
    </w:p>
    <w:p>
      <w:pPr>
        <w:numPr>
          <w:ilvl w:val="0"/>
          <w:numId w:val="2"/>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招标人名称</w:t>
      </w:r>
    </w:p>
    <w:p>
      <w:pPr>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二、招标项目名称</w:t>
      </w:r>
    </w:p>
    <w:p>
      <w:pPr>
        <w:numPr>
          <w:ilvl w:val="0"/>
          <w:numId w:val="0"/>
        </w:numPr>
        <w:snapToGrid w:val="0"/>
        <w:spacing w:line="560" w:lineRule="exact"/>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XXXX单位XXXX年第X期公款竞争性存放招标。</w:t>
      </w:r>
    </w:p>
    <w:p>
      <w:pPr>
        <w:numPr>
          <w:ilvl w:val="0"/>
          <w:numId w:val="3"/>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招标公告发布日期</w:t>
      </w:r>
    </w:p>
    <w:p>
      <w:pPr>
        <w:numPr>
          <w:ilvl w:val="0"/>
          <w:numId w:val="3"/>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定标日期</w:t>
      </w:r>
    </w:p>
    <w:p>
      <w:pPr>
        <w:numPr>
          <w:ilvl w:val="0"/>
          <w:numId w:val="3"/>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中标结果</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(包括公款存放期限、中标银行、中标利率、综合得分排名、中标金额或中标资金分配方案等信息)</w:t>
      </w:r>
    </w:p>
    <w:p>
      <w:pPr>
        <w:numPr>
          <w:ilvl w:val="0"/>
          <w:numId w:val="3"/>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联系方式</w:t>
      </w:r>
    </w:p>
    <w:p>
      <w:pPr>
        <w:numPr>
          <w:ilvl w:val="0"/>
          <w:numId w:val="0"/>
        </w:numPr>
        <w:snapToGrid/>
        <w:spacing w:line="240" w:lineRule="auto"/>
        <w:jc w:val="both"/>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七、其他事项</w:t>
      </w:r>
    </w:p>
    <w:p>
      <w:pPr>
        <w:snapToGrid w:val="0"/>
        <w:spacing w:line="560" w:lineRule="exact"/>
        <w:ind w:firstLine="640" w:firstLineChars="200"/>
        <w:jc w:val="left"/>
        <w:rPr>
          <w:rFonts w:hint="eastAsia" w:ascii="仿宋_GB2312" w:eastAsia="仿宋_GB2312"/>
          <w:sz w:val="32"/>
          <w:szCs w:val="32"/>
          <w:lang w:val="en-US" w:eastAsia="zh-CN"/>
        </w:rPr>
      </w:pPr>
    </w:p>
    <w:p>
      <w:pPr>
        <w:rPr>
          <w:rFonts w:hint="eastAsia"/>
          <w:sz w:val="32"/>
          <w:szCs w:val="32"/>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icons">
    <w:altName w:val="Segoe Print"/>
    <w:panose1 w:val="00000000000000000000"/>
    <w:charset w:val="00"/>
    <w:family w:val="auto"/>
    <w:pitch w:val="default"/>
    <w:sig w:usb0="00000000" w:usb1="00000000" w:usb2="00000000" w:usb3="00000000" w:csb0="00000000" w:csb1="00000000"/>
  </w:font>
  <w:font w:name="c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书宋_GBK">
    <w:altName w:val="Arial Unicode MS"/>
    <w:panose1 w:val="03000509000000000000"/>
    <w:charset w:val="86"/>
    <w:family w:val="script"/>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ヒラギノ角ゴ Pro W3">
    <w:altName w:val="宋体"/>
    <w:panose1 w:val="00000000000000000000"/>
    <w:charset w:val="00"/>
    <w:family w:val="roman"/>
    <w:pitch w:val="default"/>
    <w:sig w:usb0="00000000" w:usb1="00000000" w:usb2="00000000" w:usb3="00000000" w:csb0="00040001" w:csb1="00000000"/>
  </w:font>
  <w:font w:name="Dotum">
    <w:panose1 w:val="020B0600000101010101"/>
    <w:charset w:val="81"/>
    <w:family w:val="swiss"/>
    <w:pitch w:val="default"/>
    <w:sig w:usb0="B00002AF" w:usb1="69D77CFB" w:usb2="00000030" w:usb3="00000000" w:csb0="4008009F" w:csb1="DFD70000"/>
  </w:font>
  <w:font w:name="Century">
    <w:panose1 w:val="02040604050505020304"/>
    <w:charset w:val="00"/>
    <w:family w:val="roman"/>
    <w:pitch w:val="default"/>
    <w:sig w:usb0="00000287"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小标宋简体">
    <w:altName w:val="Arial Unicode MS"/>
    <w:panose1 w:val="03000509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TT276o00">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ZSSK--GBK1-0">
    <w:altName w:val="Segoe Print"/>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0000019F" w:csb1="00000000"/>
  </w:font>
  <w:font w:name="Wingdings 2">
    <w:panose1 w:val="05020102010507070707"/>
    <w:charset w:val="02"/>
    <w:family w:val="roman"/>
    <w:pitch w:val="default"/>
    <w:sig w:usb0="00000000" w:usb1="00000000" w:usb2="00000000" w:usb3="00000000" w:csb0="80000000" w:csb1="00000000"/>
  </w:font>
  <w:font w:name="方正美黑_GBK">
    <w:altName w:val="Arial Unicode MS"/>
    <w:panose1 w:val="03000509000000000000"/>
    <w:charset w:val="86"/>
    <w:family w:val="auto"/>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icrosoft YaHei UI">
    <w:altName w:val="宋体"/>
    <w:panose1 w:val="00000000000000000000"/>
    <w:charset w:val="86"/>
    <w:family w:val="auto"/>
    <w:pitch w:val="default"/>
    <w:sig w:usb0="00000000" w:usb1="00000000" w:usb2="00000016" w:usb3="00000000" w:csb0="0004001F" w:csb1="00000000"/>
  </w:font>
  <w:font w:name="Segoe UI">
    <w:panose1 w:val="020B0502040204020203"/>
    <w:charset w:val="00"/>
    <w:family w:val="auto"/>
    <w:pitch w:val="default"/>
    <w:sig w:usb0="E10022FF" w:usb1="C000E47F" w:usb2="00000029" w:usb3="00000000" w:csb0="200001DF" w:csb1="20000000"/>
  </w:font>
  <w:font w:name="方正粗黑宋简体">
    <w:altName w:val="宋体"/>
    <w:panose1 w:val="02000000000000000000"/>
    <w:charset w:val="86"/>
    <w:family w:val="auto"/>
    <w:pitch w:val="default"/>
    <w:sig w:usb0="00000000" w:usb1="00000000" w:usb2="00000012" w:usb3="00000000" w:csb0="00040001" w:csb1="00000000"/>
  </w:font>
  <w:font w:name="隶书">
    <w:panose1 w:val="02010509060101010101"/>
    <w:charset w:val="86"/>
    <w:family w:val="auto"/>
    <w:pitch w:val="default"/>
    <w:sig w:usb0="00000001" w:usb1="080E0000" w:usb2="00000000" w:usb3="00000000" w:csb0="00040000" w:csb1="00000000"/>
  </w:font>
  <w:font w:name="方正书宋简体">
    <w:altName w:val="Arial Unicode MS"/>
    <w:panose1 w:val="02010601030101010101"/>
    <w:charset w:val="86"/>
    <w:family w:val="auto"/>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FZXBSJW--GB1-0">
    <w:altName w:val="Latha"/>
    <w:panose1 w:val="00000000000000000000"/>
    <w:charset w:val="00"/>
    <w:family w:val="auto"/>
    <w:pitch w:val="default"/>
    <w:sig w:usb0="00000000" w:usb1="00000000" w:usb2="00000000" w:usb3="00000000" w:csb0="00000000" w:csb1="00000000"/>
  </w:font>
  <w:font w:name="Shruti">
    <w:panose1 w:val="020B0502040204020203"/>
    <w:charset w:val="00"/>
    <w:family w:val="auto"/>
    <w:pitch w:val="default"/>
    <w:sig w:usb0="00040003"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等线 Light">
    <w:altName w:val="宋体"/>
    <w:panose1 w:val="00000000000000000000"/>
    <w:charset w:val="86"/>
    <w:family w:val="roman"/>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16" w:usb3="00000000" w:csb0="0004000F" w:csb1="00000000"/>
  </w:font>
  <w:font w:name="HYa6gj">
    <w:altName w:val="方正舒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小标宋">
    <w:altName w:val="黑体"/>
    <w:panose1 w:val="00000000000000000000"/>
    <w:charset w:val="00"/>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HYa6gj">
    <w:altName w:val="Latha"/>
    <w:panose1 w:val="00000000000000000000"/>
    <w:charset w:val="00"/>
    <w:family w:val="auto"/>
    <w:pitch w:val="default"/>
    <w:sig w:usb0="00000000" w:usb1="00000000" w:usb2="00000000" w:usb3="00000000" w:csb0="00000000" w:csb1="00000000"/>
  </w:font>
  <w:font w:name="HYb1gj">
    <w:altName w:val="Latha"/>
    <w:panose1 w:val="00000000000000000000"/>
    <w:charset w:val="00"/>
    <w:family w:val="auto"/>
    <w:pitch w:val="default"/>
    <w:sig w:usb0="00000000" w:usb1="00000000" w:usb2="00000000" w:usb3="00000000" w:csb0="00000000" w:csb1="00000000"/>
  </w:font>
  <w:font w:name="Symbol01">
    <w:altName w:val="Latha"/>
    <w:panose1 w:val="00000000000000000000"/>
    <w:charset w:val="00"/>
    <w:family w:val="auto"/>
    <w:pitch w:val="default"/>
    <w:sig w:usb0="00000000" w:usb1="00000000" w:usb2="00000000" w:usb3="00000000" w:csb0="00000000" w:csb1="00000000"/>
  </w:font>
  <w:font w:name="FZSSJW--GB1-0">
    <w:altName w:val="Latha"/>
    <w:panose1 w:val="00000000000000000000"/>
    <w:charset w:val="00"/>
    <w:family w:val="auto"/>
    <w:pitch w:val="default"/>
    <w:sig w:usb0="00000000" w:usb1="00000000" w:usb2="00000000" w:usb3="00000000" w:csb0="00000000" w:csb1="00000000"/>
  </w:font>
  <w:font w:name="HYa3gj">
    <w:altName w:val="Latha"/>
    <w:panose1 w:val="00000000000000000000"/>
    <w:charset w:val="00"/>
    <w:family w:val="auto"/>
    <w:pitch w:val="default"/>
    <w:sig w:usb0="00000000" w:usb1="00000000" w:usb2="00000000" w:usb3="00000000" w:csb0="00000000" w:csb1="00000000"/>
  </w:font>
  <w:font w:name="FZShuSong-Z01">
    <w:altName w:val="Latha"/>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inherit">
    <w:altName w:val="Times New Roman"/>
    <w:panose1 w:val="00000000000000000000"/>
    <w:charset w:val="00"/>
    <w:family w:val="roman"/>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方正兰亭超细黑简体">
    <w:altName w:val="黑体"/>
    <w:panose1 w:val="02000000000000000000"/>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Arial (W1)">
    <w:altName w:val="Arial"/>
    <w:panose1 w:val="00000000000000000000"/>
    <w:charset w:val="00"/>
    <w:family w:val="swiss"/>
    <w:pitch w:val="default"/>
    <w:sig w:usb0="00000000" w:usb1="00000000" w:usb2="00000008" w:usb3="00000000" w:csb0="000001FF" w:csb1="00000000"/>
  </w:font>
  <w:font w:name="Lucida Sans">
    <w:panose1 w:val="020B0602030504020204"/>
    <w:charset w:val="00"/>
    <w:family w:val="swiss"/>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Futura Bk">
    <w:altName w:val="Trebuchet MS"/>
    <w:panose1 w:val="00000000000000000000"/>
    <w:charset w:val="00"/>
    <w:family w:val="swiss"/>
    <w:pitch w:val="default"/>
    <w:sig w:usb0="00000000" w:usb1="00000000" w:usb2="00000000" w:usb3="00000000" w:csb0="0000009F" w:csb1="00000000"/>
  </w:font>
  <w:font w:name="Century Gothic">
    <w:panose1 w:val="020B0502020202020204"/>
    <w:charset w:val="00"/>
    <w:family w:val="swiss"/>
    <w:pitch w:val="default"/>
    <w:sig w:usb0="00000287"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Futura Hv">
    <w:altName w:val="Arial"/>
    <w:panose1 w:val="00000000000000000000"/>
    <w:charset w:val="00"/>
    <w:family w:val="swiss"/>
    <w:pitch w:val="default"/>
    <w:sig w:usb0="00000000" w:usb1="00000000" w:usb2="00000000" w:usb3="00000000" w:csb0="0000009F"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Trebuchet MS">
    <w:panose1 w:val="020B0603020202020204"/>
    <w:charset w:val="00"/>
    <w:family w:val="auto"/>
    <w:pitch w:val="default"/>
    <w:sig w:usb0="00000287" w:usb1="00000000" w:usb2="00000000" w:usb3="00000000" w:csb0="2000009F" w:csb1="00000000"/>
  </w:font>
  <w:font w:name="Droid Sans">
    <w:altName w:val="Times New Roman"/>
    <w:panose1 w:val="00000000000000000000"/>
    <w:charset w:val="00"/>
    <w:family w:val="auto"/>
    <w:pitch w:val="default"/>
    <w:sig w:usb0="00000000" w:usb1="00000000" w:usb2="00000000" w:usb3="00000000" w:csb0="00040001" w:csb1="00000000"/>
  </w:font>
  <w:font w:name="DejaVu Sans">
    <w:altName w:val="Traditional Arabic"/>
    <w:panose1 w:val="02020603050405020304"/>
    <w:charset w:val="00"/>
    <w:family w:val="roman"/>
    <w:pitch w:val="default"/>
    <w:sig w:usb0="00000000" w:usb1="00000000" w:usb2="00000008" w:usb3="00000000" w:csb0="000001FF"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PingFangHK">
    <w:altName w:val="Segoe Print"/>
    <w:panose1 w:val="00000000000000000000"/>
    <w:charset w:val="00"/>
    <w:family w:val="auto"/>
    <w:pitch w:val="default"/>
    <w:sig w:usb0="00000000" w:usb1="00000000" w:usb2="00000000" w:usb3="00000000" w:csb0="00000000" w:csb1="00000000"/>
  </w:font>
  <w:font w:name="Univers 57 Condensed">
    <w:altName w:val="宋体"/>
    <w:panose1 w:val="00000000000000000000"/>
    <w:charset w:val="86"/>
    <w:family w:val="auto"/>
    <w:pitch w:val="default"/>
    <w:sig w:usb0="00000000" w:usb1="00000000" w:usb2="00000010"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宋体-简">
    <w:altName w:val="宋体"/>
    <w:panose1 w:val="02010800040101010101"/>
    <w:charset w:val="86"/>
    <w:family w:val="auto"/>
    <w:pitch w:val="default"/>
    <w:sig w:usb0="00000000" w:usb1="00000000" w:usb2="00000000" w:usb3="00000000" w:csb0="00040000" w:csb1="00000000"/>
  </w:font>
  <w:font w:name="报隶-简">
    <w:altName w:val="隶书"/>
    <w:panose1 w:val="02010600040101010101"/>
    <w:charset w:val="86"/>
    <w:family w:val="auto"/>
    <w:pitch w:val="default"/>
    <w:sig w:usb0="00000000" w:usb1="00000000" w:usb2="00000016" w:usb3="00000000" w:csb0="0004001F" w:csb1="00000000"/>
  </w:font>
  <w:font w:name="-apple-system">
    <w:altName w:val="Arial Unicode MS"/>
    <w:panose1 w:val="00000000000000000000"/>
    <w:charset w:val="00"/>
    <w:family w:val="auto"/>
    <w:pitch w:val="default"/>
    <w:sig w:usb0="00000000" w:usb1="00000000" w:usb2="00000000" w:usb3="00000000" w:csb0="00040001" w:csb1="00000000"/>
  </w:font>
  <w:font w:name="凌慧体-简">
    <w:altName w:val="宋体"/>
    <w:panose1 w:val="03050602040302020204"/>
    <w:charset w:val="86"/>
    <w:family w:val="auto"/>
    <w:pitch w:val="default"/>
    <w:sig w:usb0="00000000" w:usb1="00000000" w:usb2="0000001E" w:usb3="00000000" w:csb0="00040001" w:csb1="00000000"/>
  </w:font>
  <w:font w:name="圆体-简">
    <w:altName w:val="宋体"/>
    <w:panose1 w:val="02010600040101010101"/>
    <w:charset w:val="86"/>
    <w:family w:val="auto"/>
    <w:pitch w:val="default"/>
    <w:sig w:usb0="00000000" w:usb1="00000000" w:usb2="00000016" w:usb3="00000000" w:csb0="0004001F" w:csb1="00000000"/>
  </w:font>
  <w:font w:name="楷体-繁">
    <w:altName w:val="楷体_GB2312"/>
    <w:panose1 w:val="02010600040101010101"/>
    <w:charset w:val="86"/>
    <w:family w:val="auto"/>
    <w:pitch w:val="default"/>
    <w:sig w:usb0="00000000" w:usb1="00000000" w:usb2="00000016" w:usb3="00000000" w:csb0="0004001F" w:csb1="00000000"/>
  </w:font>
  <w:font w:name="冬青黑体简体中文">
    <w:altName w:val="黑体"/>
    <w:panose1 w:val="020B0300000000000000"/>
    <w:charset w:val="86"/>
    <w:family w:val="auto"/>
    <w:pitch w:val="default"/>
    <w:sig w:usb0="00000000" w:usb1="00000000" w:usb2="00000016" w:usb3="00000000" w:csb0="00060007" w:csb1="00000000"/>
  </w:font>
  <w:font w:name="Corbel">
    <w:panose1 w:val="020B0503020204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Microsoft Sans Serif">
    <w:panose1 w:val="020B0604020202020204"/>
    <w:charset w:val="00"/>
    <w:family w:val="auto"/>
    <w:pitch w:val="default"/>
    <w:sig w:usb0="E1002AFF" w:usb1="C0000002" w:usb2="00000008" w:usb3="00000000" w:csb0="200101FF" w:csb1="20280000"/>
  </w:font>
  <w:font w:name="Palatino Linotype">
    <w:panose1 w:val="02040502050505030304"/>
    <w:charset w:val="00"/>
    <w:family w:val="auto"/>
    <w:pitch w:val="default"/>
    <w:sig w:usb0="E0000287" w:usb1="40000013" w:usb2="00000000" w:usb3="00000000" w:csb0="2000019F" w:csb1="00000000"/>
  </w:font>
  <w:font w:name="汉仪旗黑KW">
    <w:altName w:val="黑体"/>
    <w:panose1 w:val="00020600040101010101"/>
    <w:charset w:val="86"/>
    <w:family w:val="auto"/>
    <w:pitch w:val="default"/>
    <w:sig w:usb0="00000000" w:usb1="00000000" w:usb2="00000016" w:usb3="00000000" w:csb0="0004009F" w:csb1="DFD70000"/>
  </w:font>
  <w:font w:name="汉仪楷体简">
    <w:altName w:val="楷体_GB2312"/>
    <w:panose1 w:val="02010600000101010101"/>
    <w:charset w:val="86"/>
    <w:family w:val="auto"/>
    <w:pitch w:val="default"/>
    <w:sig w:usb0="00000000" w:usb1="00000000" w:usb2="00000002" w:usb3="00000000" w:csb0="00040000" w:csb1="00000000"/>
  </w:font>
  <w:font w:name="汉仪旗黑">
    <w:altName w:val="黑体"/>
    <w:panose1 w:val="00020600040101010101"/>
    <w:charset w:val="86"/>
    <w:family w:val="auto"/>
    <w:pitch w:val="default"/>
    <w:sig w:usb0="00000000" w:usb1="00000000" w:usb2="00000016" w:usb3="00000000" w:csb0="0004009F" w:csb1="DFD70000"/>
  </w:font>
  <w:font w:name="Kingsoft Sign">
    <w:altName w:val="Segoe Print"/>
    <w:panose1 w:val="05050102010706020507"/>
    <w:charset w:val="00"/>
    <w:family w:val="auto"/>
    <w:pitch w:val="default"/>
    <w:sig w:usb0="00000000" w:usb1="00000000" w:usb2="00000000" w:usb3="00000000" w:csb0="00000001" w:csb1="00000000"/>
  </w:font>
  <w:font w:name="Angsana New">
    <w:panose1 w:val="02020603050405020304"/>
    <w:charset w:val="00"/>
    <w:family w:val="roman"/>
    <w:pitch w:val="default"/>
    <w:sig w:usb0="81000003" w:usb1="00000000" w:usb2="00000000" w:usb3="00000000" w:csb0="00010001" w:csb1="00000000"/>
  </w:font>
  <w:font w:name="FuturaA Bk BT">
    <w:altName w:val="Segoe Print"/>
    <w:panose1 w:val="00000000000000000000"/>
    <w:charset w:val="00"/>
    <w:family w:val="auto"/>
    <w:pitch w:val="default"/>
    <w:sig w:usb0="00000000" w:usb1="00000000" w:usb2="00000000" w:usb3="00000000" w:csb0="00000001" w:csb1="00000000"/>
  </w:font>
  <w:font w:name="Century Schoolbook">
    <w:panose1 w:val="02040604050505020304"/>
    <w:charset w:val="00"/>
    <w:family w:val="roman"/>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MingLiU">
    <w:panose1 w:val="02020509000000000000"/>
    <w:charset w:val="88"/>
    <w:family w:val="modern"/>
    <w:pitch w:val="default"/>
    <w:sig w:usb0="A00002FF" w:usb1="28CFFCFA" w:usb2="00000016" w:usb3="00000000" w:csb0="00100001" w:csb1="00000000"/>
  </w:font>
  <w:font w:name="..">
    <w:altName w:val="Arial Unicode MS"/>
    <w:panose1 w:val="00000000000000000000"/>
    <w:charset w:val="00"/>
    <w:family w:val="auto"/>
    <w:pitch w:val="default"/>
    <w:sig w:usb0="00000000" w:usb1="00000000" w:usb2="00000010" w:usb3="00000000" w:csb0="00040000" w:csb1="00000000"/>
  </w:font>
  <w:font w:name="MS PMincho">
    <w:panose1 w:val="02020600040205080304"/>
    <w:charset w:val="80"/>
    <w:family w:val="roman"/>
    <w:pitch w:val="default"/>
    <w:sig w:usb0="E00002FF" w:usb1="6AC7FDFB" w:usb2="00000012" w:usb3="00000000" w:csb0="4002009F" w:csb1="DFD70000"/>
  </w:font>
  <w:font w:name="文鼎CS仿宋体">
    <w:altName w:val="仿宋"/>
    <w:panose1 w:val="00000000000000000000"/>
    <w:charset w:val="00"/>
    <w:family w:val="auto"/>
    <w:pitch w:val="default"/>
    <w:sig w:usb0="00000000" w:usb1="00000000" w:usb2="00000010" w:usb3="00000000" w:csb0="00040000" w:csb1="00000000"/>
  </w:font>
  <w:font w:name="方正黑体简体">
    <w:altName w:val="Arial Unicode MS"/>
    <w:panose1 w:val="02010601030101010101"/>
    <w:charset w:val="00"/>
    <w:family w:val="auto"/>
    <w:pitch w:val="default"/>
    <w:sig w:usb0="00000000" w:usb1="00000000" w:usb2="00000010" w:usb3="00000000" w:csb0="00040000" w:csb1="00000000"/>
  </w:font>
  <w:font w:name="黑体-简">
    <w:altName w:val="黑体"/>
    <w:panose1 w:val="02000000000000000000"/>
    <w:charset w:val="86"/>
    <w:family w:val="auto"/>
    <w:pitch w:val="default"/>
    <w:sig w:usb0="00000000" w:usb1="00000000" w:usb2="00000000" w:usb3="00000000" w:csb0="203E0000" w:csb1="00000000"/>
  </w:font>
  <w:font w:name="宋体-繁">
    <w:altName w:val="宋体"/>
    <w:panose1 w:val="02010600040101010101"/>
    <w:charset w:val="86"/>
    <w:family w:val="auto"/>
    <w:pitch w:val="default"/>
    <w:sig w:usb0="00000000" w:usb1="00000000" w:usb2="00000000" w:usb3="00000000" w:csb0="0004009F" w:csb1="DFD70000"/>
  </w:font>
  <w:font w:name="Univers 57 Condensed">
    <w:altName w:val="Arial Unicode MS"/>
    <w:panose1 w:val="00000000000000000000"/>
    <w:charset w:val="00"/>
    <w:family w:val="auto"/>
    <w:pitch w:val="default"/>
    <w:sig w:usb0="00000000" w:usb1="00000000" w:usb2="00000010" w:usb3="00000000" w:csb0="00040000" w:csb1="00000000"/>
  </w:font>
  <w:font w:name="DengXian">
    <w:altName w:val="宋体"/>
    <w:panose1 w:val="02010600030101010101"/>
    <w:charset w:val="86"/>
    <w:family w:val="auto"/>
    <w:pitch w:val="default"/>
    <w:sig w:usb0="00000000" w:usb1="00000000" w:usb2="00000016" w:usb3="00000000" w:csb0="0004000F" w:csb1="00000000"/>
  </w:font>
  <w:font w:name="汉仪中等线KW">
    <w:altName w:val="宋体"/>
    <w:panose1 w:val="01010104010101010101"/>
    <w:charset w:val="86"/>
    <w:family w:val="auto"/>
    <w:pitch w:val="default"/>
    <w:sig w:usb0="00000000" w:usb1="00000000" w:usb2="00000000"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webkit-standard">
    <w:altName w:val="Segoe Print"/>
    <w:panose1 w:val="00000000000000000000"/>
    <w:charset w:val="00"/>
    <w:family w:val="auto"/>
    <w:pitch w:val="default"/>
    <w:sig w:usb0="00000000" w:usb1="00000000" w:usb2="00000000" w:usb3="00000000" w:csb0="00000000" w:csb1="00000000"/>
  </w:font>
  <w:font w:name="儷黑 Pro">
    <w:altName w:val="黑体"/>
    <w:panose1 w:val="020B0500000000000000"/>
    <w:charset w:val="88"/>
    <w:family w:val="auto"/>
    <w:pitch w:val="default"/>
    <w:sig w:usb0="00000000" w:usb1="00000000" w:usb2="00000016" w:usb3="00000000" w:csb0="00100000" w:csb1="00000000"/>
  </w:font>
  <w:font w:name="凌慧体-繁">
    <w:altName w:val="宋体"/>
    <w:panose1 w:val="03050602040302020204"/>
    <w:charset w:val="86"/>
    <w:family w:val="auto"/>
    <w:pitch w:val="default"/>
    <w:sig w:usb0="00000000" w:usb1="00000000" w:usb2="0000001E" w:usb3="00000000" w:csb0="20140183" w:csb1="00000000"/>
  </w:font>
  <w:font w:name="Hiragino Sans GB W3">
    <w:altName w:val="宋体"/>
    <w:panose1 w:val="020B0300000000000000"/>
    <w:charset w:val="86"/>
    <w:family w:val="auto"/>
    <w:pitch w:val="default"/>
    <w:sig w:usb0="00000000" w:usb1="00000000" w:usb2="00000016" w:usb3="00000000" w:csb0="00060007" w:csb1="00000000"/>
  </w:font>
  <w:font w:name="Lantinghei SC Extralight">
    <w:altName w:val="宋体"/>
    <w:panose1 w:val="02000000000000000000"/>
    <w:charset w:val="86"/>
    <w:family w:val="auto"/>
    <w:pitch w:val="default"/>
    <w:sig w:usb0="00000000" w:usb1="00000000" w:usb2="00000000" w:usb3="00000000" w:csb0="00040000" w:csb1="00000000"/>
  </w:font>
  <w:font w:name="Lantinghei TC Extralight">
    <w:altName w:val="DFKai-SB"/>
    <w:panose1 w:val="03000509000000000000"/>
    <w:charset w:val="88"/>
    <w:family w:val="auto"/>
    <w:pitch w:val="default"/>
    <w:sig w:usb0="00000000" w:usb1="00000000" w:usb2="00000000" w:usb3="00000000" w:csb0="00100000" w:csb1="00000000"/>
  </w:font>
  <w:font w:name="儷宋 Pro">
    <w:altName w:val="宋体"/>
    <w:panose1 w:val="02020300000000000000"/>
    <w:charset w:val="88"/>
    <w:family w:val="auto"/>
    <w:pitch w:val="default"/>
    <w:sig w:usb0="00000000" w:usb1="00000000" w:usb2="00000016" w:usb3="00000000" w:csb0="00100000" w:csb1="00000000"/>
  </w:font>
  <w:font w:name="Apple Color Emoji">
    <w:altName w:val="Segoe Print"/>
    <w:panose1 w:val="00000000000000000000"/>
    <w:charset w:val="00"/>
    <w:family w:val="auto"/>
    <w:pitch w:val="default"/>
    <w:sig w:usb0="00000000" w:usb1="00000000" w:usb2="14000000" w:usb3="00000000" w:csb0="00000001" w:csb1="00000000"/>
  </w:font>
  <w:font w:name="pingfang sc">
    <w:altName w:val="宋体"/>
    <w:panose1 w:val="020B0400000000000000"/>
    <w:charset w:val="86"/>
    <w:family w:val="auto"/>
    <w:pitch w:val="default"/>
    <w:sig w:usb0="00000000" w:usb1="00000000" w:usb2="00000017" w:usb3="00000000" w:csb0="00040001" w:csb1="00000000"/>
  </w:font>
  <w:font w:name="pingfang sc semibold">
    <w:altName w:val="宋体"/>
    <w:panose1 w:val="020B0400000000000000"/>
    <w:charset w:val="86"/>
    <w:family w:val="auto"/>
    <w:pitch w:val="default"/>
    <w:sig w:usb0="00000000" w:usb1="00000000" w:usb2="00000017" w:usb3="00000000" w:csb0="00040001" w:csb1="00000000"/>
  </w:font>
  <w:font w:name="Verdana,ˎ̥">
    <w:altName w:val="Arial Unicode MS"/>
    <w:panose1 w:val="00000000000000000000"/>
    <w:charset w:val="00"/>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00001" w:csb1="00000000"/>
  </w:font>
  <w:font w:name="t">
    <w:altName w:val="Arial Unicode MS"/>
    <w:panose1 w:val="00000000000000000000"/>
    <w:charset w:val="00"/>
    <w:family w:val="auto"/>
    <w:pitch w:val="default"/>
    <w:sig w:usb0="00000000" w:usb1="00000000" w:usb2="00000000" w:usb3="00000000" w:csb0="00040001" w:csb1="00000000"/>
  </w:font>
  <w:font w:name="Ti">
    <w:altName w:val="Arial Unicode MS"/>
    <w:panose1 w:val="00000000000000000000"/>
    <w:charset w:val="00"/>
    <w:family w:val="auto"/>
    <w:pitch w:val="default"/>
    <w:sig w:usb0="00000000" w:usb1="00000000" w:usb2="00000000" w:usb3="00000000" w:csb0="00040001" w:csb1="00000000"/>
  </w:font>
  <w:font w:name="Traditional Arabic">
    <w:panose1 w:val="02020603050405020304"/>
    <w:charset w:val="00"/>
    <w:family w:val="auto"/>
    <w:pitch w:val="default"/>
    <w:sig w:usb0="00006003" w:usb1="80000000" w:usb2="00000008" w:usb3="00000000" w:csb0="00000041" w:csb1="20080000"/>
  </w:font>
  <w:font w:name="DFKai-SB">
    <w:panose1 w:val="03000509000000000000"/>
    <w:charset w:val="88"/>
    <w:family w:val="auto"/>
    <w:pitch w:val="default"/>
    <w:sig w:usb0="00000003" w:usb1="082E0000" w:usb2="00000016" w:usb3="00000000" w:csb0="00100001" w:csb1="00000000"/>
  </w:font>
  <w:font w:name="FZFS">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2A1F1"/>
    <w:multiLevelType w:val="singleLevel"/>
    <w:tmpl w:val="55F2A1F1"/>
    <w:lvl w:ilvl="0" w:tentative="0">
      <w:start w:val="1"/>
      <w:numFmt w:val="chineseCounting"/>
      <w:suff w:val="nothing"/>
      <w:lvlText w:val="%1、"/>
      <w:lvlJc w:val="left"/>
    </w:lvl>
  </w:abstractNum>
  <w:abstractNum w:abstractNumId="1">
    <w:nsid w:val="55F2A4D5"/>
    <w:multiLevelType w:val="singleLevel"/>
    <w:tmpl w:val="55F2A4D5"/>
    <w:lvl w:ilvl="0" w:tentative="0">
      <w:start w:val="1"/>
      <w:numFmt w:val="chineseCounting"/>
      <w:suff w:val="nothing"/>
      <w:lvlText w:val="%1、"/>
      <w:lvlJc w:val="left"/>
    </w:lvl>
  </w:abstractNum>
  <w:abstractNum w:abstractNumId="2">
    <w:nsid w:val="55F2A4E3"/>
    <w:multiLevelType w:val="singleLevel"/>
    <w:tmpl w:val="55F2A4E3"/>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900F1"/>
    <w:rsid w:val="019B03F4"/>
    <w:rsid w:val="03560D43"/>
    <w:rsid w:val="044371B7"/>
    <w:rsid w:val="04EF34E0"/>
    <w:rsid w:val="050B0A5F"/>
    <w:rsid w:val="054C402A"/>
    <w:rsid w:val="05C07196"/>
    <w:rsid w:val="05FB61A8"/>
    <w:rsid w:val="067C6F4A"/>
    <w:rsid w:val="07F63724"/>
    <w:rsid w:val="08917DEC"/>
    <w:rsid w:val="09330A01"/>
    <w:rsid w:val="099E6EEB"/>
    <w:rsid w:val="0A3B2406"/>
    <w:rsid w:val="0AC84BD2"/>
    <w:rsid w:val="0B2251F1"/>
    <w:rsid w:val="0BF35712"/>
    <w:rsid w:val="0C003ACF"/>
    <w:rsid w:val="0CCF7329"/>
    <w:rsid w:val="0D981F00"/>
    <w:rsid w:val="0DF84B63"/>
    <w:rsid w:val="0E024C11"/>
    <w:rsid w:val="0E8372F5"/>
    <w:rsid w:val="0E904C77"/>
    <w:rsid w:val="0EAE497B"/>
    <w:rsid w:val="0EF50484"/>
    <w:rsid w:val="10642BAB"/>
    <w:rsid w:val="111A097F"/>
    <w:rsid w:val="11571276"/>
    <w:rsid w:val="115C6CFF"/>
    <w:rsid w:val="12502FC4"/>
    <w:rsid w:val="12F45835"/>
    <w:rsid w:val="132D3F80"/>
    <w:rsid w:val="135B1062"/>
    <w:rsid w:val="14B0185A"/>
    <w:rsid w:val="154619B1"/>
    <w:rsid w:val="15825326"/>
    <w:rsid w:val="1586468C"/>
    <w:rsid w:val="15FA1A34"/>
    <w:rsid w:val="17C66E09"/>
    <w:rsid w:val="183B3C9F"/>
    <w:rsid w:val="190F7C4F"/>
    <w:rsid w:val="191B6730"/>
    <w:rsid w:val="1A0A43E0"/>
    <w:rsid w:val="1A1041CE"/>
    <w:rsid w:val="1AA56844"/>
    <w:rsid w:val="1AC66C08"/>
    <w:rsid w:val="1B772848"/>
    <w:rsid w:val="1C284F40"/>
    <w:rsid w:val="1CE7075E"/>
    <w:rsid w:val="1D97249D"/>
    <w:rsid w:val="1DE34EC0"/>
    <w:rsid w:val="1E6D20AC"/>
    <w:rsid w:val="1EDE34E8"/>
    <w:rsid w:val="1F486A7D"/>
    <w:rsid w:val="1FE62E02"/>
    <w:rsid w:val="207D263D"/>
    <w:rsid w:val="21422524"/>
    <w:rsid w:val="22163E0F"/>
    <w:rsid w:val="22502E5C"/>
    <w:rsid w:val="2258137E"/>
    <w:rsid w:val="230D4BBD"/>
    <w:rsid w:val="23773C19"/>
    <w:rsid w:val="23F02C31"/>
    <w:rsid w:val="24E160AE"/>
    <w:rsid w:val="25494EB8"/>
    <w:rsid w:val="27D43105"/>
    <w:rsid w:val="28391FCE"/>
    <w:rsid w:val="28684BB0"/>
    <w:rsid w:val="292877BE"/>
    <w:rsid w:val="29302D0D"/>
    <w:rsid w:val="2A245D62"/>
    <w:rsid w:val="2AB47F8B"/>
    <w:rsid w:val="2AB506C9"/>
    <w:rsid w:val="2B520AD5"/>
    <w:rsid w:val="2B9F74E7"/>
    <w:rsid w:val="2C57472A"/>
    <w:rsid w:val="2C6546CB"/>
    <w:rsid w:val="2D2E1505"/>
    <w:rsid w:val="2D6A6F06"/>
    <w:rsid w:val="2DA25B81"/>
    <w:rsid w:val="2E39627D"/>
    <w:rsid w:val="30EA0D56"/>
    <w:rsid w:val="318943EB"/>
    <w:rsid w:val="31B562C2"/>
    <w:rsid w:val="31D95199"/>
    <w:rsid w:val="31DD6864"/>
    <w:rsid w:val="31F70641"/>
    <w:rsid w:val="327B5AF1"/>
    <w:rsid w:val="32D823EC"/>
    <w:rsid w:val="334E59FC"/>
    <w:rsid w:val="34D61F5F"/>
    <w:rsid w:val="34EF1666"/>
    <w:rsid w:val="35CB3D2F"/>
    <w:rsid w:val="36026F6B"/>
    <w:rsid w:val="363F47CF"/>
    <w:rsid w:val="36837F83"/>
    <w:rsid w:val="36882E20"/>
    <w:rsid w:val="373B2EDD"/>
    <w:rsid w:val="37D03C88"/>
    <w:rsid w:val="37F90954"/>
    <w:rsid w:val="38AA2FCC"/>
    <w:rsid w:val="398944E1"/>
    <w:rsid w:val="39E84D93"/>
    <w:rsid w:val="3AAB667F"/>
    <w:rsid w:val="3BB963AA"/>
    <w:rsid w:val="3BC90EE2"/>
    <w:rsid w:val="3C173B98"/>
    <w:rsid w:val="3C216124"/>
    <w:rsid w:val="3C83702D"/>
    <w:rsid w:val="3C851B49"/>
    <w:rsid w:val="3C95793D"/>
    <w:rsid w:val="3DB74DA7"/>
    <w:rsid w:val="3E662678"/>
    <w:rsid w:val="3E973AFD"/>
    <w:rsid w:val="3FE34763"/>
    <w:rsid w:val="419B79DD"/>
    <w:rsid w:val="419C7627"/>
    <w:rsid w:val="42015516"/>
    <w:rsid w:val="42DC4134"/>
    <w:rsid w:val="43544FF2"/>
    <w:rsid w:val="439D1E67"/>
    <w:rsid w:val="43FC33D3"/>
    <w:rsid w:val="444F2840"/>
    <w:rsid w:val="44841D23"/>
    <w:rsid w:val="44CD040E"/>
    <w:rsid w:val="44CD192B"/>
    <w:rsid w:val="44F07636"/>
    <w:rsid w:val="467077B5"/>
    <w:rsid w:val="468F25D8"/>
    <w:rsid w:val="478D2043"/>
    <w:rsid w:val="47951C61"/>
    <w:rsid w:val="48F549C9"/>
    <w:rsid w:val="490C6B3C"/>
    <w:rsid w:val="490E46D8"/>
    <w:rsid w:val="495A3E67"/>
    <w:rsid w:val="49945537"/>
    <w:rsid w:val="4A101FD6"/>
    <w:rsid w:val="4A7C1896"/>
    <w:rsid w:val="4A7C613D"/>
    <w:rsid w:val="4AF9768E"/>
    <w:rsid w:val="4B33766C"/>
    <w:rsid w:val="4BB27AA1"/>
    <w:rsid w:val="4C7D4D11"/>
    <w:rsid w:val="4CCA3403"/>
    <w:rsid w:val="4D112FE9"/>
    <w:rsid w:val="4D331C6D"/>
    <w:rsid w:val="4E1A7F3E"/>
    <w:rsid w:val="4E302244"/>
    <w:rsid w:val="4E981C5F"/>
    <w:rsid w:val="4FAB6D3F"/>
    <w:rsid w:val="504F392B"/>
    <w:rsid w:val="52C437B5"/>
    <w:rsid w:val="52C5009D"/>
    <w:rsid w:val="53D5453D"/>
    <w:rsid w:val="53DA2339"/>
    <w:rsid w:val="54887DE6"/>
    <w:rsid w:val="54FE52E0"/>
    <w:rsid w:val="55445647"/>
    <w:rsid w:val="55AD7887"/>
    <w:rsid w:val="56303248"/>
    <w:rsid w:val="564909FC"/>
    <w:rsid w:val="56F30B69"/>
    <w:rsid w:val="57A12398"/>
    <w:rsid w:val="57AA4BFB"/>
    <w:rsid w:val="57AF53FE"/>
    <w:rsid w:val="58420515"/>
    <w:rsid w:val="58655DDE"/>
    <w:rsid w:val="58CF1295"/>
    <w:rsid w:val="5A9D3661"/>
    <w:rsid w:val="5B2449CA"/>
    <w:rsid w:val="5B65637B"/>
    <w:rsid w:val="5BF56C19"/>
    <w:rsid w:val="5C1B7E14"/>
    <w:rsid w:val="5C5959D2"/>
    <w:rsid w:val="5CE27B7B"/>
    <w:rsid w:val="5D8E0D0B"/>
    <w:rsid w:val="5DB67784"/>
    <w:rsid w:val="5DDF7164"/>
    <w:rsid w:val="5DE65BC5"/>
    <w:rsid w:val="5EC937A7"/>
    <w:rsid w:val="5F241801"/>
    <w:rsid w:val="5F634B89"/>
    <w:rsid w:val="5FCA40D7"/>
    <w:rsid w:val="609C0950"/>
    <w:rsid w:val="60EA25AD"/>
    <w:rsid w:val="61454D8F"/>
    <w:rsid w:val="61F81DF2"/>
    <w:rsid w:val="62835A8B"/>
    <w:rsid w:val="62D9753E"/>
    <w:rsid w:val="640E6D73"/>
    <w:rsid w:val="66014BA7"/>
    <w:rsid w:val="666F0D49"/>
    <w:rsid w:val="66B0416A"/>
    <w:rsid w:val="66F54FEC"/>
    <w:rsid w:val="67736042"/>
    <w:rsid w:val="67D51695"/>
    <w:rsid w:val="67D95DD1"/>
    <w:rsid w:val="69826A35"/>
    <w:rsid w:val="69CE6686"/>
    <w:rsid w:val="69E03B0B"/>
    <w:rsid w:val="6ABF06C9"/>
    <w:rsid w:val="6C860765"/>
    <w:rsid w:val="6CC54652"/>
    <w:rsid w:val="6CD8320A"/>
    <w:rsid w:val="6DA70784"/>
    <w:rsid w:val="6E004F51"/>
    <w:rsid w:val="70D54107"/>
    <w:rsid w:val="72526F73"/>
    <w:rsid w:val="72BE5D63"/>
    <w:rsid w:val="72C413E2"/>
    <w:rsid w:val="736E2121"/>
    <w:rsid w:val="73CA2B93"/>
    <w:rsid w:val="74AD3269"/>
    <w:rsid w:val="74CA5717"/>
    <w:rsid w:val="750150F7"/>
    <w:rsid w:val="756C4CAA"/>
    <w:rsid w:val="760233C2"/>
    <w:rsid w:val="76734CAD"/>
    <w:rsid w:val="77475487"/>
    <w:rsid w:val="77E31F92"/>
    <w:rsid w:val="7896184A"/>
    <w:rsid w:val="79AA0BB7"/>
    <w:rsid w:val="7A4067EC"/>
    <w:rsid w:val="7A4414A2"/>
    <w:rsid w:val="7A4E2446"/>
    <w:rsid w:val="7B164AAD"/>
    <w:rsid w:val="7B6A1F8B"/>
    <w:rsid w:val="7C1239CC"/>
    <w:rsid w:val="7C630B9C"/>
    <w:rsid w:val="7E1333EF"/>
    <w:rsid w:val="7E6E2654"/>
    <w:rsid w:val="7EB00E9A"/>
    <w:rsid w:val="7EC900F1"/>
    <w:rsid w:val="7EEF78AF"/>
    <w:rsid w:val="7F0F3AD9"/>
    <w:rsid w:val="7FFF1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222222"/>
      <w:u w:val="none"/>
    </w:rPr>
  </w:style>
  <w:style w:type="character" w:styleId="8">
    <w:name w:val="Emphasis"/>
    <w:basedOn w:val="6"/>
    <w:qFormat/>
    <w:uiPriority w:val="0"/>
    <w:rPr>
      <w:color w:val="F73131"/>
    </w:rPr>
  </w:style>
  <w:style w:type="character" w:styleId="9">
    <w:name w:val="Hyperlink"/>
    <w:basedOn w:val="6"/>
    <w:qFormat/>
    <w:uiPriority w:val="0"/>
    <w:rPr>
      <w:color w:val="222222"/>
      <w:u w:val="none"/>
    </w:rPr>
  </w:style>
  <w:style w:type="character" w:styleId="10">
    <w:name w:val="HTML Cite"/>
    <w:basedOn w:val="6"/>
    <w:qFormat/>
    <w:uiPriority w:val="0"/>
    <w:rPr>
      <w:color w:val="008000"/>
    </w:rPr>
  </w:style>
  <w:style w:type="paragraph" w:customStyle="1" w:styleId="12">
    <w:name w:val="List Paragraph"/>
    <w:basedOn w:val="1"/>
    <w:qFormat/>
    <w:uiPriority w:val="34"/>
    <w:pPr>
      <w:ind w:firstLine="420" w:firstLineChars="200"/>
    </w:pPr>
  </w:style>
  <w:style w:type="paragraph" w:customStyle="1" w:styleId="13">
    <w:name w:val="列出段落1"/>
    <w:basedOn w:val="1"/>
    <w:qFormat/>
    <w:uiPriority w:val="34"/>
    <w:pPr>
      <w:ind w:firstLine="420" w:firstLineChars="200"/>
    </w:pPr>
    <w:rPr>
      <w:szCs w:val="20"/>
    </w:rPr>
  </w:style>
  <w:style w:type="character" w:customStyle="1" w:styleId="14">
    <w:name w:val="first-child"/>
    <w:basedOn w:val="6"/>
    <w:qFormat/>
    <w:uiPriority w:val="0"/>
    <w:rPr>
      <w:color w:val="2958C3"/>
    </w:rPr>
  </w:style>
  <w:style w:type="character" w:customStyle="1" w:styleId="15">
    <w:name w:val="first-child1"/>
    <w:basedOn w:val="6"/>
    <w:qFormat/>
    <w:uiPriority w:val="0"/>
    <w:rPr>
      <w:color w:val="2958C3"/>
    </w:rPr>
  </w:style>
  <w:style w:type="character" w:customStyle="1" w:styleId="16">
    <w:name w:val="first-child2"/>
    <w:basedOn w:val="6"/>
    <w:qFormat/>
    <w:uiPriority w:val="0"/>
  </w:style>
  <w:style w:type="character" w:customStyle="1" w:styleId="17">
    <w:name w:val="last-child"/>
    <w:basedOn w:val="6"/>
    <w:qFormat/>
    <w:uiPriority w:val="0"/>
  </w:style>
  <w:style w:type="character" w:customStyle="1" w:styleId="18">
    <w:name w:val="last-child1"/>
    <w:basedOn w:val="6"/>
    <w:qFormat/>
    <w:uiPriority w:val="0"/>
  </w:style>
  <w:style w:type="character" w:customStyle="1" w:styleId="19">
    <w:name w:val="current"/>
    <w:basedOn w:val="6"/>
    <w:qFormat/>
    <w:uiPriority w:val="0"/>
    <w:rPr>
      <w:color w:val="FFFFFF"/>
      <w:shd w:val="clear" w:fill="E62020"/>
    </w:rPr>
  </w:style>
  <w:style w:type="character" w:customStyle="1" w:styleId="20">
    <w:name w:val="layui-layer-tabnow"/>
    <w:basedOn w:val="6"/>
    <w:qFormat/>
    <w:uiPriority w:val="0"/>
    <w:rPr>
      <w:bdr w:val="single" w:color="CCCCCC" w:sz="6" w:space="0"/>
      <w:shd w:val="clear" w:fill="FFFFFF"/>
    </w:rPr>
  </w:style>
  <w:style w:type="character" w:customStyle="1" w:styleId="21">
    <w:name w:val="hover24"/>
    <w:basedOn w:val="6"/>
    <w:qFormat/>
    <w:uiPriority w:val="0"/>
  </w:style>
  <w:style w:type="character" w:customStyle="1" w:styleId="22">
    <w:name w:val="hover25"/>
    <w:basedOn w:val="6"/>
    <w:qFormat/>
    <w:uiPriority w:val="0"/>
    <w:rPr>
      <w:color w:val="315EFB"/>
    </w:rPr>
  </w:style>
  <w:style w:type="character" w:customStyle="1" w:styleId="23">
    <w:name w:val="c-icon27"/>
    <w:basedOn w:val="6"/>
    <w:qFormat/>
    <w:uiPriority w:val="0"/>
  </w:style>
  <w:style w:type="paragraph" w:customStyle="1" w:styleId="24">
    <w:name w:val="_Style 21"/>
    <w:basedOn w:val="1"/>
    <w:next w:val="1"/>
    <w:qFormat/>
    <w:uiPriority w:val="0"/>
    <w:pPr>
      <w:pBdr>
        <w:bottom w:val="single" w:color="auto" w:sz="6" w:space="1"/>
      </w:pBdr>
      <w:jc w:val="center"/>
    </w:pPr>
    <w:rPr>
      <w:rFonts w:ascii="Arial" w:eastAsia="宋体"/>
      <w:vanish/>
      <w:sz w:val="16"/>
    </w:rPr>
  </w:style>
  <w:style w:type="paragraph" w:customStyle="1" w:styleId="25">
    <w:name w:val="_Style 22"/>
    <w:basedOn w:val="1"/>
    <w:next w:val="1"/>
    <w:qFormat/>
    <w:uiPriority w:val="0"/>
    <w:pPr>
      <w:pBdr>
        <w:top w:val="single" w:color="auto" w:sz="6" w:space="1"/>
      </w:pBdr>
      <w:jc w:val="center"/>
    </w:pPr>
    <w:rPr>
      <w:rFonts w:ascii="Arial" w:eastAsia="宋体"/>
      <w:vanish/>
      <w:sz w:val="16"/>
    </w:rPr>
  </w:style>
  <w:style w:type="character" w:customStyle="1" w:styleId="26">
    <w:name w:val="c-icon28"/>
    <w:basedOn w:val="6"/>
    <w:qFormat/>
    <w:uiPriority w:val="0"/>
  </w:style>
  <w:style w:type="character" w:customStyle="1" w:styleId="27">
    <w:name w:val="c-icon"/>
    <w:basedOn w:val="6"/>
    <w:qFormat/>
    <w:uiPriority w:val="0"/>
  </w:style>
  <w:style w:type="paragraph" w:customStyle="1" w:styleId="28">
    <w:name w:val="_Style 1"/>
    <w:basedOn w:val="1"/>
    <w:qFormat/>
    <w:uiPriority w:val="0"/>
    <w:pPr>
      <w:ind w:firstLine="420" w:firstLineChars="200"/>
    </w:pPr>
    <w:rPr>
      <w:rFonts w:ascii="Calibri" w:hAnsi="Calibri"/>
      <w:szCs w:val="22"/>
    </w:rPr>
  </w:style>
  <w:style w:type="paragraph" w:customStyle="1" w:styleId="29">
    <w:name w:val="p20"/>
    <w:basedOn w:val="1"/>
    <w:qFormat/>
    <w:uiPriority w:val="0"/>
    <w:pPr>
      <w:widowControl/>
    </w:pPr>
    <w:rPr>
      <w:rFonts w:hint="eastAsia" w:ascii="宋体" w:hAnsi="宋体"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2019-12-31T02:46:00Z</dcterms:created>
  <dc:creator>徐菁</dc:creator>
  <cp:lastModifiedBy>徐菁</cp:lastModifiedBy>
  <cp:lastPrinted>2021-11-23T02:40:09Z</cp:lastPrinted>
  <dcterms:modified xsi:type="dcterms:W3CDTF">2021-11-23T02:42:05Z</dcterms:modified>
  <dc:title>杭州市市本级行政事业单位公款竞争性存放管理暂行办法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