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beforeLines="0" w:afterLines="0" w:line="60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ascii="方正小标宋简体" w:hAnsi="宋体" w:eastAsia="方正小标宋简体" w:cs="宋体"/>
                <w:b w:val="0"/>
                <w:bCs w:val="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kern w:val="0"/>
                <w:sz w:val="44"/>
                <w:szCs w:val="44"/>
              </w:rPr>
              <w:t>20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kern w:val="0"/>
                <w:sz w:val="44"/>
                <w:szCs w:val="44"/>
                <w:lang w:val="en-US" w:eastAsia="zh-CN"/>
              </w:rPr>
              <w:t>20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kern w:val="0"/>
                <w:sz w:val="44"/>
                <w:szCs w:val="44"/>
              </w:rPr>
              <w:t>年烈士褒扬金分配表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</w:tbl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0"/>
        <w:gridCol w:w="3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9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9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全省合计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金华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市小计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117.91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9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东阳市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117.91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9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台州市小计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345.18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椒江区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117.91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路桥区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117.91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9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温岭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109.36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9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温州市小计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117.91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鹿城区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117.91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4407E"/>
    <w:rsid w:val="0B1440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2021-03-15T03:35:00Z</dcterms:created>
  <dc:creator>HZCS</dc:creator>
  <cp:lastModifiedBy>HZCS</cp:lastModifiedBy>
  <dcterms:modified xsi:type="dcterms:W3CDTF">2021-03-15T03:36:05Z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