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beforeLines="0" w:afterLines="0" w:line="400" w:lineRule="exact"/>
        <w:jc w:val="both"/>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2020年中央财政农业生产发展资金</w:t>
      </w:r>
    </w:p>
    <w:p>
      <w:pPr>
        <w:spacing w:line="560" w:lineRule="exact"/>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提前下达指标分配表</w:t>
      </w:r>
    </w:p>
    <w:p>
      <w:pPr>
        <w:spacing w:line="560" w:lineRule="exact"/>
        <w:jc w:val="right"/>
        <w:rPr>
          <w:rFonts w:hint="eastAsia" w:ascii="方正小标宋简体" w:hAnsi="方正小标宋简体" w:eastAsia="方正小标宋简体" w:cs="方正小标宋简体"/>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单位：万元</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2172"/>
        <w:gridCol w:w="973"/>
        <w:gridCol w:w="1247"/>
        <w:gridCol w:w="1248"/>
        <w:gridCol w:w="1247"/>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86" w:hRule="atLeast"/>
          <w:tblHeader/>
        </w:trPr>
        <w:tc>
          <w:tcPr>
            <w:tcW w:w="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序号</w:t>
            </w:r>
          </w:p>
        </w:tc>
        <w:tc>
          <w:tcPr>
            <w:tcW w:w="21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市县（单位）</w:t>
            </w:r>
          </w:p>
        </w:tc>
        <w:tc>
          <w:tcPr>
            <w:tcW w:w="9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省级以上补助资金小计</w:t>
            </w:r>
          </w:p>
        </w:tc>
        <w:tc>
          <w:tcPr>
            <w:tcW w:w="499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其中：涉及约束性任务的资金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85" w:hRule="atLeast"/>
          <w:tblHeader/>
        </w:trPr>
        <w:tc>
          <w:tcPr>
            <w:tcW w:w="7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217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耕地地力</w:t>
            </w:r>
          </w:p>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保护补贴</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粮食补贴发放工作经费</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农机购置</w:t>
            </w:r>
          </w:p>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补贴</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基层政策性农业信贷担保服务创新试点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全省合计</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175123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121866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1400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26074</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省农业技术推广中心</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省农业广播电视学校</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中国农科院茶叶研究所</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浙江大学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省农科院</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杭州电子科技大学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浙江工业大学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浙江农林大学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省水产技术推广总站</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省淡水水产研究所</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11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宁波大学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省海洋水产研究所</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浙江海洋大学</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省海洋水产养殖研究所</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杭州市本级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7663.3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7173.4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91.9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270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其中：  西湖风景  </w:t>
            </w:r>
          </w:p>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名胜区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钱塘新区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16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滨江区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萧山区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余杭区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富阳区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临安区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桐庐县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1346.3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987.7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建德市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2211.4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1599.9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淳安县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2048.4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1416.3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温州市本级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1054.8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934.7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其中：温州开发区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25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鹿城区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瓯海区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龙湾区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洞头区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乐清市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3745.8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2575.8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瑞安市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2977.7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1872.7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永嘉县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2290.6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1706.8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平阳县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3531.6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2175.8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苍南县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3403.1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2631.4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文成县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1038.2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828.6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泰顺县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嘉兴市本级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4912.6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4767.6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南湖区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秀洲区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海宁市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2817.2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2413.3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平湖市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4240.4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3790.9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桐乡市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2953.1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2568.2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嘉善县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3498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2665.9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海盐县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3313.8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2833.5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湖州市本级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3540.8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3393.4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吴兴区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南浔区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德清县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1464.7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933.8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安吉县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4137.4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1754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长兴县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6262.6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3840.5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绍兴市本级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7500.4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7126.2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越城区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柯桥区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上虞区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1236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诸暨市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5619.2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4432.5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嵊州市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3904.9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2609.5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新昌县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1776.7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金华市本级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2682.8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1448.3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其中：金华开发区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58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婺城区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金东区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兰溪市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2818.8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2192.7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东阳市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3203.9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1899.6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义乌市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1635.1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903.5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永康市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1496.3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907.7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浦江县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973.4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683.7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武义县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1662.6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1215.1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磐安县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954.2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565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舟山市本级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612.4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523.7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定海区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普陀区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岱山县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305.5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嵊泗县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0</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台州市本级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2032.3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1943.4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椒江区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黄岩区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路桥区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温岭市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3711.1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2351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临海市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3489.3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2189.3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玉环市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575.8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235.8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三门县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1941.8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天台县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1537.8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1276.5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仙居县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1965.7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1494.6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衢州市本级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3011.3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2864.6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柯城区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784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衢江区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江山市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3823.3</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3024.6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龙游县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3885.8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2747.6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660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常山县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1519.1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1080.3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开化县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1777.7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1391.9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丽水市本级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1056.6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其中：丽水开发区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90</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莲都区</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251</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龙泉市</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2029.9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1591.5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青田县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1775.5</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1009.6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云和县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1388.8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424.4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庆元县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1161.4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缙云县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1344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995.3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96</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遂昌县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1889.7</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1203.3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15.4</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97</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松阳县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2153.8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905.2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11.6</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800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景宁县</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893.9</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767.1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9.8</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99</w:t>
            </w:r>
          </w:p>
        </w:tc>
        <w:tc>
          <w:tcPr>
            <w:tcW w:w="2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宁波市本级</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12442</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pacing w:beforeLines="0" w:afterLines="0" w:line="320" w:lineRule="exact"/>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12442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beforeLines="0" w:afterLines="0" w:line="320" w:lineRule="exact"/>
              <w:jc w:val="center"/>
              <w:outlineLvl w:val="9"/>
              <w:rPr>
                <w:rFonts w:hint="eastAsia" w:ascii="仿宋_GB2312" w:hAnsi="仿宋_GB2312" w:eastAsia="仿宋_GB2312" w:cs="仿宋_GB2312"/>
                <w:i w:val="0"/>
                <w:color w:val="000000"/>
                <w:sz w:val="22"/>
                <w:szCs w:val="22"/>
                <w:u w:val="none"/>
              </w:rPr>
            </w:pPr>
          </w:p>
        </w:tc>
      </w:tr>
    </w:tbl>
    <w:p>
      <w:pPr>
        <w:keepNext w:val="0"/>
        <w:keepLines w:val="0"/>
        <w:pageBreakBefore w:val="0"/>
        <w:kinsoku/>
        <w:wordWrap/>
        <w:overflowPunct/>
        <w:topLinePunct w:val="0"/>
        <w:autoSpaceDE/>
        <w:autoSpaceDN/>
        <w:bidi w:val="0"/>
        <w:adjustRightInd/>
        <w:snapToGrid w:val="0"/>
        <w:spacing w:before="0" w:beforeLines="0" w:line="380" w:lineRule="exact"/>
        <w:jc w:val="both"/>
        <w:outlineLvl w:val="9"/>
        <w:rPr>
          <w:rFonts w:hint="eastAsia" w:ascii="仿宋_GB2312"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eastAsia" w:ascii="仿宋_GB2312" w:hAnsi="Arial" w:eastAsia="仿宋_GB2312" w:cs="Arial"/>
          <w:kern w:val="0"/>
          <w:sz w:val="24"/>
          <w:szCs w:val="24"/>
          <w:lang w:eastAsia="zh-CN"/>
        </w:rPr>
        <w:t>注：设区市所辖区（含开发区）中央耕地地力保护补贴资金和省级粮食补贴发放工作经费由市本级统筹安排；</w:t>
      </w:r>
      <w:r>
        <w:rPr>
          <w:rFonts w:hint="eastAsia" w:ascii="仿宋_GB2312" w:hAnsi="Arial" w:eastAsia="仿宋_GB2312" w:cs="Arial"/>
          <w:kern w:val="0"/>
          <w:sz w:val="24"/>
          <w:szCs w:val="24"/>
        </w:rPr>
        <w:t>宁波市中央</w:t>
      </w:r>
      <w:r>
        <w:rPr>
          <w:rFonts w:hint="eastAsia" w:ascii="仿宋_GB2312" w:hAnsi="Arial" w:eastAsia="仿宋_GB2312" w:cs="Arial"/>
          <w:kern w:val="0"/>
          <w:sz w:val="24"/>
          <w:szCs w:val="24"/>
          <w:lang w:eastAsia="zh-CN"/>
        </w:rPr>
        <w:t>耕地地力保护</w:t>
      </w:r>
      <w:r>
        <w:rPr>
          <w:rFonts w:hint="eastAsia" w:ascii="仿宋_GB2312" w:hAnsi="Arial" w:eastAsia="仿宋_GB2312" w:cs="Arial"/>
          <w:kern w:val="0"/>
          <w:sz w:val="24"/>
          <w:szCs w:val="24"/>
        </w:rPr>
        <w:t>补贴资金按上年基数安排，具体安排使用由宁波市自行确定</w:t>
      </w:r>
      <w:r>
        <w:rPr>
          <w:rFonts w:hint="eastAsia" w:ascii="仿宋_GB2312" w:hAnsi="Arial" w:eastAsia="仿宋_GB2312" w:cs="Arial"/>
          <w:kern w:val="0"/>
          <w:sz w:val="24"/>
          <w:szCs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81908"/>
    <w:rsid w:val="25181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2020-06-11T07:48:00Z</dcterms:created>
  <dc:creator>HZCS</dc:creator>
  <cp:lastModifiedBy>HZCS</cp:lastModifiedBy>
  <dcterms:modified xsi:type="dcterms:W3CDTF">2020-06-11T07:48:31Z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