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附表2：</w:t>
      </w:r>
    </w:p>
    <w:p>
      <w:pPr>
        <w:ind w:left="-2" w:leftChars="-85" w:hanging="176" w:hangingChars="4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小标宋" w:eastAsia="小标宋"/>
          <w:b/>
          <w:sz w:val="36"/>
          <w:szCs w:val="36"/>
        </w:rPr>
        <w:t>市本级企业国有资产收益（国有股股息、股利）申报表</w:t>
      </w:r>
    </w:p>
    <w:p>
      <w:pPr>
        <w:spacing w:line="400" w:lineRule="exact"/>
        <w:ind w:left="2885" w:leftChars="1374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    年度                  金额单位：元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911"/>
        <w:gridCol w:w="409"/>
        <w:gridCol w:w="126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组织形式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（有限责任公司或股份有限公司）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所处行业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银行帐号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财务经理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72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应交国有资本收益申报情况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   目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核实数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归属于母公司所有者的净利润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可供分配的净利润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向投资者分配的利润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ind w:left="-456" w:leftChars="-2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国有股权（股份）所占比例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应付国有股股息、股利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加：以前年度欠付的国有股股息、股利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减：本期已付的国有股股息、股利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应交（退）国有股股息、股利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附送资料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1、股东会（股东大会）决议；2、其他资料。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本公司按照《公司法》和公司章程的规定进行利润分配，申报资料真实、合法，国有股东公平分享股息、股利及其他合法权益。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法人代表（签章）：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20   年  月   日</w:t>
            </w:r>
          </w:p>
        </w:tc>
      </w:tr>
    </w:tbl>
    <w:p>
      <w:pPr>
        <w:ind w:firstLine="2400" w:firstLineChars="10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总会计师：                经办人：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3DCE"/>
    <w:rsid w:val="78B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2021-10-12T09:22:00Z</dcterms:created>
  <dc:creator>usxik</dc:creator>
  <cp:lastModifiedBy>usxik</cp:lastModifiedBy>
  <dcterms:modified xsi:type="dcterms:W3CDTF">2021-10-12T09:22:35Z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AA1775EA19124D028FD6E763EC8CD172</vt:lpwstr>
  </property>
</Properties>
</file>