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宋体"/>
          <w:sz w:val="44"/>
          <w:szCs w:val="44"/>
          <w:u w:val="single"/>
        </w:rPr>
      </w:pPr>
      <w:bookmarkStart w:id="0" w:name="_Toc20384570"/>
      <w:r>
        <w:rPr>
          <w:rFonts w:hint="eastAsia" w:ascii="黑体" w:hAnsi="黑体" w:eastAsia="黑体" w:cs="宋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方正小标宋简体" w:hAnsi="方正小标宋简体" w:eastAsia="方正小标宋简体" w:cs="宋体"/>
          <w:sz w:val="48"/>
          <w:szCs w:val="48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宋体"/>
          <w:sz w:val="48"/>
          <w:szCs w:val="48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宋体"/>
          <w:sz w:val="52"/>
          <w:szCs w:val="52"/>
        </w:rPr>
      </w:pPr>
      <w:r>
        <w:rPr>
          <w:rFonts w:hint="eastAsia" w:ascii="方正小标宋简体" w:hAnsi="方正小标宋简体" w:eastAsia="方正小标宋简体" w:cs="宋体"/>
          <w:sz w:val="52"/>
          <w:szCs w:val="52"/>
        </w:rPr>
        <w:t>杭州市政府采购项目</w:t>
      </w:r>
    </w:p>
    <w:p>
      <w:pPr>
        <w:spacing w:line="360" w:lineRule="auto"/>
        <w:jc w:val="center"/>
        <w:rPr>
          <w:rFonts w:ascii="方正小标宋简体" w:hAnsi="方正小标宋简体" w:eastAsia="方正小标宋简体" w:cs="宋体"/>
          <w:sz w:val="52"/>
          <w:szCs w:val="52"/>
        </w:rPr>
      </w:pPr>
      <w:r>
        <w:rPr>
          <w:rFonts w:hint="eastAsia" w:ascii="方正小标宋简体" w:hAnsi="方正小标宋简体" w:eastAsia="方正小标宋简体" w:cs="宋体"/>
          <w:sz w:val="52"/>
          <w:szCs w:val="52"/>
        </w:rPr>
        <w:t>采购需求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360" w:lineRule="auto"/>
        <w:ind w:left="420" w:leftChars="200" w:firstLine="1260" w:firstLineChars="450"/>
        <w:rPr>
          <w:rFonts w:ascii="方正小标宋简体" w:hAnsi="方正小标宋简体" w:eastAsia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采购单位：</w:t>
      </w:r>
      <w:r>
        <w:rPr>
          <w:rFonts w:hint="eastAsia" w:ascii="方正小标宋简体" w:hAnsi="方正小标宋简体" w:eastAsia="方正小标宋简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left="420" w:leftChars="200" w:firstLine="1260" w:firstLineChars="450"/>
        <w:rPr>
          <w:rFonts w:ascii="方正小标宋简体" w:hAnsi="方正小标宋简体" w:eastAsia="方正小标宋简体"/>
          <w:sz w:val="28"/>
          <w:szCs w:val="28"/>
          <w:u w:val="single"/>
        </w:rPr>
      </w:pPr>
      <w:r>
        <w:rPr>
          <w:rFonts w:ascii="方正小标宋简体" w:hAnsi="方正小标宋简体" w:eastAsia="方正小标宋简体"/>
          <w:sz w:val="28"/>
          <w:szCs w:val="28"/>
        </w:rPr>
        <w:t>项目名称</w:t>
      </w:r>
      <w:r>
        <w:rPr>
          <w:rFonts w:hint="eastAsia" w:ascii="方正小标宋简体" w:hAnsi="方正小标宋简体" w:eastAsia="方正小标宋简体"/>
          <w:sz w:val="28"/>
          <w:szCs w:val="28"/>
        </w:rPr>
        <w:t>：</w:t>
      </w:r>
      <w:r>
        <w:rPr>
          <w:rFonts w:hint="eastAsia" w:ascii="方正小标宋简体" w:hAnsi="方正小标宋简体" w:eastAsia="方正小标宋简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left="420" w:leftChars="200" w:firstLine="1260" w:firstLineChars="450"/>
        <w:rPr>
          <w:rFonts w:ascii="方正小标宋简体" w:hAnsi="方正小标宋简体" w:eastAsia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编制单位：</w:t>
      </w:r>
      <w:r>
        <w:rPr>
          <w:rFonts w:hint="eastAsia" w:ascii="方正小标宋简体" w:hAnsi="方正小标宋简体" w:eastAsia="方正小标宋简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left="420" w:leftChars="200" w:firstLine="1260" w:firstLineChars="450"/>
        <w:rPr>
          <w:rFonts w:ascii="方正小标宋简体" w:hAnsi="方正小标宋简体" w:eastAsia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编制时间：</w:t>
      </w:r>
      <w:r>
        <w:rPr>
          <w:rFonts w:hint="eastAsia" w:ascii="方正小标宋简体" w:hAnsi="方正小标宋简体" w:eastAsia="方正小标宋简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宋体" w:hAnsi="宋体"/>
          <w:b/>
          <w:sz w:val="28"/>
          <w:szCs w:val="28"/>
        </w:rPr>
        <w:t>一、需求调查情况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（一）本项目是否需要开展需求调查：</w:t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 xml:space="preserve">是  </w:t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>否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（二）本项目是否属于可以不再重复开展需求调查情形：</w:t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 xml:space="preserve">是  </w:t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>否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（三）需求调查方式</w:t>
      </w:r>
    </w:p>
    <w:p>
      <w:pPr>
        <w:spacing w:line="360" w:lineRule="auto"/>
        <w:ind w:firstLine="42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 xml:space="preserve">咨询 </w:t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 xml:space="preserve">论证 </w:t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 xml:space="preserve">问卷调查 </w:t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>其他方式（</w:t>
      </w:r>
      <w:r>
        <w:rPr>
          <w:rFonts w:hint="eastAsia" w:ascii="宋体" w:hAnsi="宋体" w:cs="仿宋_GB2312"/>
          <w:sz w:val="24"/>
          <w:u w:val="single"/>
        </w:rPr>
        <w:t xml:space="preserve">            </w:t>
      </w:r>
      <w:r>
        <w:rPr>
          <w:rFonts w:hint="eastAsia" w:ascii="宋体" w:hAnsi="宋体" w:cs="仿宋_GB2312"/>
          <w:sz w:val="24"/>
        </w:rPr>
        <w:t>）                        （四）需求调查对象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（五）需求调查结果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1.相关产业发展情况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2.市场供给情况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3.同类采购项目历史成交信息情况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4.可能涉及的运行维护、升级更新、备品备件、耗材等后续采购情况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5.其他相关情况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before="312" w:beforeLines="100"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二</w:t>
      </w:r>
      <w:r>
        <w:rPr>
          <w:rFonts w:hint="eastAsia" w:ascii="宋体" w:hAnsi="宋体"/>
          <w:b/>
          <w:sz w:val="28"/>
          <w:szCs w:val="28"/>
        </w:rPr>
        <w:t>、采购需求内容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（一）项目概况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（二）预算金额（元）：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（三）需满足的政府采购政策目标和具体支持对象</w:t>
      </w:r>
    </w:p>
    <w:p>
      <w:pPr>
        <w:spacing w:line="360" w:lineRule="auto"/>
        <w:ind w:firstLine="42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 xml:space="preserve">扶持中小企业 </w:t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 xml:space="preserve">节能环保 </w:t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>其他（</w:t>
      </w:r>
      <w:r>
        <w:rPr>
          <w:rFonts w:hint="eastAsia" w:ascii="宋体" w:hAnsi="宋体" w:cs="仿宋_GB2312"/>
          <w:sz w:val="24"/>
          <w:u w:val="single"/>
        </w:rPr>
        <w:t xml:space="preserve">            </w:t>
      </w:r>
      <w:r>
        <w:rPr>
          <w:rFonts w:hint="eastAsia" w:ascii="宋体" w:hAnsi="宋体" w:cs="仿宋_GB2312"/>
          <w:sz w:val="24"/>
        </w:rPr>
        <w:t>）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 xml:space="preserve">（四）采购标的是否进口产品： </w:t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 xml:space="preserve">进口 </w:t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>国产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（五）拟采购标的的技术要求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拟采购标的（1）</w:t>
      </w:r>
    </w:p>
    <w:tbl>
      <w:tblPr>
        <w:tblStyle w:val="6"/>
        <w:tblW w:w="0" w:type="auto"/>
        <w:tblInd w:w="21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409"/>
        <w:gridCol w:w="1360"/>
        <w:gridCol w:w="303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标的内容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数量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单位</w:t>
            </w:r>
          </w:p>
        </w:tc>
        <w:tc>
          <w:tcPr>
            <w:tcW w:w="30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功能和质量</w:t>
            </w:r>
          </w:p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要求</w:t>
            </w:r>
          </w:p>
        </w:tc>
        <w:tc>
          <w:tcPr>
            <w:tcW w:w="6804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仿宋_GB2312"/>
          <w:sz w:val="24"/>
        </w:rPr>
        <w:t>拟采购标的（2）</w:t>
      </w:r>
    </w:p>
    <w:tbl>
      <w:tblPr>
        <w:tblStyle w:val="6"/>
        <w:tblW w:w="0" w:type="auto"/>
        <w:tblInd w:w="21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409"/>
        <w:gridCol w:w="1360"/>
        <w:gridCol w:w="303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标的内容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数量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单位</w:t>
            </w:r>
          </w:p>
        </w:tc>
        <w:tc>
          <w:tcPr>
            <w:tcW w:w="30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功能和质量</w:t>
            </w:r>
          </w:p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要求</w:t>
            </w:r>
          </w:p>
        </w:tc>
        <w:tc>
          <w:tcPr>
            <w:tcW w:w="6804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拟采购标的（3）</w:t>
      </w:r>
    </w:p>
    <w:tbl>
      <w:tblPr>
        <w:tblStyle w:val="6"/>
        <w:tblW w:w="0" w:type="auto"/>
        <w:tblInd w:w="21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409"/>
        <w:gridCol w:w="1360"/>
        <w:gridCol w:w="303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标的内容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数量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单位</w:t>
            </w:r>
          </w:p>
        </w:tc>
        <w:tc>
          <w:tcPr>
            <w:tcW w:w="30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功能和质量</w:t>
            </w:r>
          </w:p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要求</w:t>
            </w:r>
          </w:p>
        </w:tc>
        <w:tc>
          <w:tcPr>
            <w:tcW w:w="6804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（六）拟采购标的的商务要求</w:t>
      </w:r>
    </w:p>
    <w:p>
      <w:pPr>
        <w:spacing w:line="360" w:lineRule="auto"/>
        <w:ind w:left="210" w:leftChars="10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1.交付（实施）的时间（期限）：</w:t>
      </w:r>
      <w:r>
        <w:rPr>
          <w:rFonts w:hint="eastAsia" w:ascii="宋体" w:hAnsi="宋体"/>
          <w:sz w:val="24"/>
          <w:u w:val="single"/>
        </w:rPr>
        <w:t xml:space="preserve">                                      </w:t>
      </w:r>
    </w:p>
    <w:p>
      <w:pPr>
        <w:spacing w:line="360" w:lineRule="auto"/>
        <w:ind w:left="210" w:leftChars="10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2.交付（实施）的地点（范围）：</w:t>
      </w:r>
      <w:r>
        <w:rPr>
          <w:rFonts w:hint="eastAsia" w:ascii="宋体" w:hAnsi="宋体"/>
          <w:sz w:val="24"/>
          <w:u w:val="single"/>
        </w:rPr>
        <w:t xml:space="preserve">                                      </w:t>
      </w:r>
    </w:p>
    <w:p>
      <w:pPr>
        <w:spacing w:line="360" w:lineRule="auto"/>
        <w:ind w:left="210" w:leftChars="10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3.付款条件（进度和方式）</w:t>
      </w:r>
    </w:p>
    <w:tbl>
      <w:tblPr>
        <w:tblStyle w:val="6"/>
        <w:tblW w:w="0" w:type="auto"/>
        <w:tblInd w:w="21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977"/>
        <w:gridCol w:w="4161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付款比例（%）</w:t>
            </w:r>
          </w:p>
        </w:tc>
        <w:tc>
          <w:tcPr>
            <w:tcW w:w="41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付款方式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6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6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6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spacing w:line="360" w:lineRule="auto"/>
        <w:ind w:left="210" w:leftChars="10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4.售后服务要求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ind w:left="210" w:leftChars="10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5.其他商务要求（包装和运输、保险等）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（七）采购项目的其他要求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</w:p>
    <w:bookmarkEnd w:id="0"/>
    <w:p>
      <w:pPr>
        <w:spacing w:before="312" w:beforeLines="100"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三、合同订立安排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（一）采购项目预（概）算（元）：</w:t>
      </w:r>
      <w:r>
        <w:rPr>
          <w:rFonts w:hint="eastAsia" w:ascii="宋体" w:hAnsi="宋体" w:cs="仿宋_GB2312"/>
          <w:sz w:val="24"/>
          <w:u w:val="single"/>
        </w:rPr>
        <w:t xml:space="preserve">            </w:t>
      </w:r>
      <w:r>
        <w:rPr>
          <w:rFonts w:hint="eastAsia" w:ascii="宋体" w:hAnsi="宋体" w:cs="仿宋_GB2312"/>
          <w:sz w:val="24"/>
        </w:rPr>
        <w:t>，最高限价（元）：</w:t>
      </w:r>
      <w:r>
        <w:rPr>
          <w:rFonts w:hint="eastAsia" w:ascii="宋体" w:hAnsi="宋体" w:cs="仿宋_GB2312"/>
          <w:sz w:val="24"/>
          <w:u w:val="single"/>
        </w:rPr>
        <w:t xml:space="preserve">             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（二）开展采购活动的时间安排：</w:t>
      </w:r>
      <w:r>
        <w:rPr>
          <w:rFonts w:hint="eastAsia" w:ascii="宋体" w:hAnsi="宋体" w:cs="仿宋_GB2312"/>
          <w:sz w:val="24"/>
          <w:u w:val="single"/>
        </w:rPr>
        <w:t xml:space="preserve">                   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（三）采购组织形式：</w:t>
      </w:r>
      <w:r>
        <w:rPr>
          <w:rFonts w:hint="eastAsia" w:ascii="宋体" w:hAnsi="宋体" w:cs="仿宋_GB2312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>集中采购</w:t>
      </w:r>
      <w:r>
        <w:rPr>
          <w:rFonts w:hint="eastAsia" w:ascii="宋体" w:hAnsi="宋体" w:cs="仿宋_GB2312"/>
          <w:sz w:val="24"/>
        </w:rPr>
        <w:tab/>
      </w:r>
      <w:r>
        <w:rPr>
          <w:rFonts w:hint="eastAsia" w:ascii="宋体" w:hAnsi="宋体" w:cs="仿宋_GB2312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 xml:space="preserve">分散采购 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（四）委托代理安排</w:t>
      </w:r>
    </w:p>
    <w:p>
      <w:pPr>
        <w:spacing w:line="360" w:lineRule="auto"/>
        <w:ind w:firstLine="42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>集中采购机构</w:t>
      </w:r>
      <w:r>
        <w:rPr>
          <w:rFonts w:hint="eastAsia" w:ascii="宋体" w:hAnsi="宋体" w:cs="仿宋_GB2312"/>
          <w:sz w:val="24"/>
        </w:rPr>
        <w:tab/>
      </w:r>
      <w:r>
        <w:rPr>
          <w:rFonts w:hint="eastAsia" w:ascii="宋体" w:hAnsi="宋体" w:cs="仿宋_GB2312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>部门集中采购机构</w:t>
      </w:r>
    </w:p>
    <w:p>
      <w:pPr>
        <w:spacing w:line="360" w:lineRule="auto"/>
        <w:ind w:firstLine="42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>采购代理机构</w:t>
      </w:r>
      <w:r>
        <w:rPr>
          <w:rFonts w:hint="eastAsia" w:ascii="宋体" w:hAnsi="宋体" w:cs="仿宋_GB2312"/>
          <w:sz w:val="24"/>
        </w:rPr>
        <w:tab/>
      </w:r>
      <w:r>
        <w:rPr>
          <w:rFonts w:hint="eastAsia" w:ascii="宋体" w:hAnsi="宋体" w:cs="仿宋_GB2312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>自行采购（含电子卖场）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（五）采购包划分：</w:t>
      </w:r>
      <w:r>
        <w:rPr>
          <w:rFonts w:hint="eastAsia" w:ascii="宋体" w:hAnsi="宋体" w:cs="仿宋_GB2312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>分标项</w:t>
      </w:r>
      <w:r>
        <w:rPr>
          <w:rFonts w:hint="eastAsia" w:ascii="宋体" w:hAnsi="宋体" w:cs="仿宋_GB2312"/>
          <w:sz w:val="24"/>
        </w:rPr>
        <w:tab/>
      </w:r>
      <w:r>
        <w:rPr>
          <w:rFonts w:hint="eastAsia" w:ascii="宋体" w:hAnsi="宋体" w:cs="仿宋_GB2312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 xml:space="preserve">不分标项 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（六）合同分包：</w:t>
      </w:r>
      <w:r>
        <w:rPr>
          <w:rFonts w:hint="eastAsia" w:ascii="宋体" w:hAnsi="宋体" w:cs="仿宋_GB2312"/>
          <w:sz w:val="24"/>
        </w:rPr>
        <w:tab/>
      </w:r>
      <w:r>
        <w:rPr>
          <w:rFonts w:hint="eastAsia" w:ascii="宋体" w:hAnsi="宋体" w:cs="仿宋_GB2312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 xml:space="preserve">允许分包    </w:t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 w:cs="仿宋_GB2312"/>
          <w:sz w:val="24"/>
        </w:rPr>
        <w:t>不允许分包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（七）供应商资格条件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（八）采购方式</w:t>
      </w:r>
    </w:p>
    <w:p>
      <w:p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</w:rPr>
        <w:t>公开招标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□邀请招标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□竞争性谈判</w:t>
      </w:r>
    </w:p>
    <w:p>
      <w:p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</w:rPr>
        <w:t>竞争性磋商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</w:rPr>
        <w:t>询价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□单一来源采购</w:t>
      </w:r>
    </w:p>
    <w:p>
      <w:p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□电子卖场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□其他采购方式 （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仿宋_GB2312"/>
          <w:sz w:val="24"/>
        </w:rPr>
        <w:t>（九）</w:t>
      </w:r>
      <w:r>
        <w:rPr>
          <w:rFonts w:hint="eastAsia" w:ascii="宋体" w:hAnsi="宋体"/>
          <w:sz w:val="24"/>
        </w:rPr>
        <w:t>选择采购方式的理由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（十）竞争范围：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公开发布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电子卖场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（十一）评审规则：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综合评分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最低价中标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其他（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） </w:t>
      </w:r>
    </w:p>
    <w:p>
      <w:pPr>
        <w:spacing w:before="312" w:beforeLines="100"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二、合同管理安排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（一）合同类型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</w:rPr>
        <w:t xml:space="preserve">货物合同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□服务合同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</w:rPr>
        <w:t>建设工程合同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□其他 （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（二）定价方式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</w:rPr>
        <w:t>固定总价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</w:rPr>
        <w:t>固定单价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</w:rPr>
        <w:t>成本补偿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</w:rPr>
        <w:t>绩效激励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（三）合同文本的主要条款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1.合同主要标的</w:t>
      </w:r>
    </w:p>
    <w:tbl>
      <w:tblPr>
        <w:tblStyle w:val="6"/>
        <w:tblW w:w="0" w:type="auto"/>
        <w:tblInd w:w="21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409"/>
        <w:gridCol w:w="1360"/>
        <w:gridCol w:w="303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标的内容1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数量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单位</w:t>
            </w:r>
          </w:p>
        </w:tc>
        <w:tc>
          <w:tcPr>
            <w:tcW w:w="30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功能和质量</w:t>
            </w:r>
          </w:p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要求</w:t>
            </w:r>
          </w:p>
        </w:tc>
        <w:tc>
          <w:tcPr>
            <w:tcW w:w="6804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/>
          <w:sz w:val="24"/>
        </w:rPr>
      </w:pPr>
    </w:p>
    <w:tbl>
      <w:tblPr>
        <w:tblStyle w:val="6"/>
        <w:tblW w:w="0" w:type="auto"/>
        <w:tblInd w:w="21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409"/>
        <w:gridCol w:w="1360"/>
        <w:gridCol w:w="303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标的内容2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数量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单位</w:t>
            </w:r>
          </w:p>
        </w:tc>
        <w:tc>
          <w:tcPr>
            <w:tcW w:w="30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功能和质量</w:t>
            </w:r>
          </w:p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要求</w:t>
            </w:r>
          </w:p>
        </w:tc>
        <w:tc>
          <w:tcPr>
            <w:tcW w:w="6804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cs="仿宋_GB2312"/>
          <w:sz w:val="24"/>
        </w:rPr>
      </w:pPr>
    </w:p>
    <w:tbl>
      <w:tblPr>
        <w:tblStyle w:val="6"/>
        <w:tblW w:w="0" w:type="auto"/>
        <w:tblInd w:w="21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409"/>
        <w:gridCol w:w="1360"/>
        <w:gridCol w:w="303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标的内容3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数量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单位</w:t>
            </w:r>
          </w:p>
        </w:tc>
        <w:tc>
          <w:tcPr>
            <w:tcW w:w="30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功能和质量要求</w:t>
            </w:r>
          </w:p>
        </w:tc>
        <w:tc>
          <w:tcPr>
            <w:tcW w:w="6804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宋体" w:hAnsi="宋体"/>
          <w:iCs/>
          <w:sz w:val="24"/>
          <w:u w:val="single"/>
        </w:rPr>
      </w:pPr>
      <w:r>
        <w:rPr>
          <w:rFonts w:hint="eastAsia" w:ascii="宋体" w:hAnsi="宋体"/>
          <w:iCs/>
          <w:sz w:val="24"/>
        </w:rPr>
        <w:t>2.履行时间（期限）：</w:t>
      </w:r>
      <w:r>
        <w:rPr>
          <w:rFonts w:hint="eastAsia" w:ascii="宋体" w:hAnsi="宋体"/>
          <w:iCs/>
          <w:sz w:val="24"/>
          <w:u w:val="single"/>
        </w:rPr>
        <w:t xml:space="preserve">                       </w:t>
      </w:r>
    </w:p>
    <w:p>
      <w:pPr>
        <w:spacing w:line="360" w:lineRule="auto"/>
        <w:ind w:firstLine="480" w:firstLineChars="200"/>
        <w:jc w:val="left"/>
        <w:rPr>
          <w:rFonts w:ascii="宋体" w:hAnsi="宋体"/>
          <w:iCs/>
          <w:sz w:val="24"/>
          <w:u w:val="single"/>
        </w:rPr>
      </w:pPr>
      <w:r>
        <w:rPr>
          <w:rFonts w:hint="eastAsia" w:ascii="宋体" w:hAnsi="宋体"/>
          <w:iCs/>
          <w:sz w:val="24"/>
        </w:rPr>
        <w:t>3.履约地点和方式：</w:t>
      </w:r>
      <w:r>
        <w:rPr>
          <w:rFonts w:hint="eastAsia" w:ascii="宋体" w:hAnsi="宋体"/>
          <w:iCs/>
          <w:sz w:val="24"/>
          <w:u w:val="single"/>
        </w:rPr>
        <w:t xml:space="preserve">                         </w:t>
      </w:r>
    </w:p>
    <w:p>
      <w:pPr>
        <w:spacing w:line="360" w:lineRule="auto"/>
        <w:ind w:firstLine="480" w:firstLineChars="200"/>
        <w:jc w:val="left"/>
        <w:rPr>
          <w:rFonts w:ascii="宋体" w:hAnsi="宋体"/>
          <w:iCs/>
          <w:sz w:val="24"/>
          <w:u w:val="single"/>
        </w:rPr>
      </w:pPr>
      <w:r>
        <w:rPr>
          <w:rFonts w:hint="eastAsia" w:ascii="宋体" w:hAnsi="宋体"/>
          <w:iCs/>
          <w:sz w:val="24"/>
        </w:rPr>
        <w:t>4.价款或者报酬：</w:t>
      </w:r>
      <w:r>
        <w:rPr>
          <w:rFonts w:hint="eastAsia" w:ascii="宋体" w:hAnsi="宋体"/>
          <w:iCs/>
          <w:sz w:val="24"/>
          <w:u w:val="single"/>
        </w:rPr>
        <w:t xml:space="preserve">                           </w:t>
      </w:r>
    </w:p>
    <w:p>
      <w:pPr>
        <w:spacing w:line="360" w:lineRule="auto"/>
        <w:ind w:firstLine="480" w:firstLineChars="200"/>
        <w:jc w:val="left"/>
        <w:rPr>
          <w:rFonts w:ascii="宋体" w:hAnsi="宋体"/>
          <w:iCs/>
          <w:sz w:val="24"/>
          <w:u w:val="single"/>
        </w:rPr>
      </w:pPr>
      <w:r>
        <w:rPr>
          <w:rFonts w:hint="eastAsia" w:ascii="宋体" w:hAnsi="宋体"/>
          <w:iCs/>
          <w:sz w:val="24"/>
        </w:rPr>
        <w:t>5.考核要求和付款进度安排</w:t>
      </w:r>
    </w:p>
    <w:tbl>
      <w:tblPr>
        <w:tblStyle w:val="6"/>
        <w:tblW w:w="0" w:type="auto"/>
        <w:tblInd w:w="21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701"/>
        <w:gridCol w:w="5720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付款比例（%）</w:t>
            </w:r>
          </w:p>
        </w:tc>
        <w:tc>
          <w:tcPr>
            <w:tcW w:w="57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考核要求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7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7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7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宋体" w:hAnsi="宋体"/>
          <w:iCs/>
          <w:sz w:val="24"/>
          <w:u w:val="single"/>
        </w:rPr>
      </w:pPr>
      <w:r>
        <w:rPr>
          <w:rFonts w:hint="eastAsia" w:ascii="宋体" w:hAnsi="宋体"/>
          <w:iCs/>
          <w:sz w:val="24"/>
        </w:rPr>
        <w:t>6.资金支付方式：</w:t>
      </w:r>
      <w:r>
        <w:rPr>
          <w:rFonts w:hint="eastAsia" w:ascii="宋体" w:hAnsi="宋体"/>
          <w:iCs/>
          <w:sz w:val="24"/>
          <w:u w:val="single"/>
        </w:rPr>
        <w:t xml:space="preserve">                           </w:t>
      </w:r>
    </w:p>
    <w:p>
      <w:pPr>
        <w:spacing w:line="360" w:lineRule="auto"/>
        <w:ind w:firstLine="480" w:firstLineChars="200"/>
        <w:jc w:val="left"/>
        <w:rPr>
          <w:rFonts w:ascii="宋体" w:hAnsi="宋体"/>
          <w:iCs/>
          <w:sz w:val="24"/>
        </w:rPr>
      </w:pPr>
      <w:r>
        <w:rPr>
          <w:rFonts w:hint="eastAsia" w:ascii="宋体" w:hAnsi="宋体"/>
          <w:iCs/>
          <w:sz w:val="24"/>
        </w:rPr>
        <w:t>7.验收、交付标准和方法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iCs/>
          <w:sz w:val="24"/>
        </w:rPr>
        <w:t>8.质量保修范围和保修期：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</w:p>
    <w:p>
      <w:pPr>
        <w:spacing w:line="360" w:lineRule="auto"/>
        <w:ind w:firstLine="480" w:firstLineChars="200"/>
        <w:jc w:val="left"/>
        <w:rPr>
          <w:rFonts w:ascii="宋体" w:hAnsi="宋体"/>
          <w:iCs/>
          <w:sz w:val="24"/>
          <w:u w:val="single"/>
        </w:rPr>
      </w:pPr>
      <w:r>
        <w:rPr>
          <w:rFonts w:hint="eastAsia" w:ascii="宋体" w:hAnsi="宋体"/>
          <w:iCs/>
          <w:sz w:val="24"/>
        </w:rPr>
        <w:t>9.知识产权归属、处理方式：</w:t>
      </w:r>
      <w:r>
        <w:rPr>
          <w:rFonts w:hint="eastAsia" w:ascii="宋体" w:hAnsi="宋体"/>
          <w:iCs/>
          <w:sz w:val="24"/>
          <w:u w:val="single"/>
        </w:rPr>
        <w:t xml:space="preserve">                    </w:t>
      </w:r>
    </w:p>
    <w:p>
      <w:pPr>
        <w:spacing w:line="360" w:lineRule="auto"/>
        <w:ind w:firstLine="480" w:firstLineChars="200"/>
        <w:jc w:val="left"/>
        <w:rPr>
          <w:rFonts w:ascii="宋体" w:hAnsi="宋体"/>
          <w:iCs/>
          <w:sz w:val="24"/>
        </w:rPr>
      </w:pPr>
      <w:r>
        <w:rPr>
          <w:rFonts w:hint="eastAsia" w:ascii="宋体" w:hAnsi="宋体"/>
          <w:iCs/>
          <w:sz w:val="24"/>
        </w:rPr>
        <w:t>10.成本补偿、风险分担约定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ind w:firstLine="480" w:firstLineChars="200"/>
        <w:jc w:val="left"/>
        <w:rPr>
          <w:rFonts w:ascii="宋体" w:hAnsi="宋体"/>
          <w:iCs/>
          <w:sz w:val="24"/>
          <w:u w:val="single"/>
        </w:rPr>
      </w:pPr>
      <w:r>
        <w:rPr>
          <w:rFonts w:hint="eastAsia" w:ascii="宋体" w:hAnsi="宋体"/>
          <w:iCs/>
          <w:sz w:val="24"/>
        </w:rPr>
        <w:t>11.违约责任与解决争议的方法：</w:t>
      </w:r>
      <w:r>
        <w:rPr>
          <w:rFonts w:hint="eastAsia" w:ascii="宋体" w:hAnsi="宋体"/>
          <w:iCs/>
          <w:sz w:val="24"/>
          <w:u w:val="single"/>
        </w:rPr>
        <w:t xml:space="preserve">                                    </w:t>
      </w:r>
    </w:p>
    <w:p>
      <w:pPr>
        <w:spacing w:line="360" w:lineRule="auto"/>
        <w:ind w:firstLine="480" w:firstLineChars="200"/>
        <w:jc w:val="left"/>
        <w:rPr>
          <w:rFonts w:ascii="宋体" w:hAnsi="宋体"/>
          <w:iCs/>
          <w:sz w:val="24"/>
        </w:rPr>
      </w:pPr>
      <w:r>
        <w:rPr>
          <w:rFonts w:hint="eastAsia" w:ascii="宋体" w:hAnsi="宋体"/>
          <w:iCs/>
          <w:sz w:val="24"/>
        </w:rPr>
        <w:t>12.其他条款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before="312" w:beforeLines="100"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三、履约验收方案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（一）履约验收主体</w:t>
      </w:r>
    </w:p>
    <w:p>
      <w:pPr>
        <w:spacing w:line="360" w:lineRule="auto"/>
        <w:ind w:left="420" w:left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1.采购单位：</w:t>
      </w:r>
      <w:r>
        <w:rPr>
          <w:rFonts w:hint="eastAsia" w:ascii="宋体" w:hAnsi="宋体"/>
          <w:sz w:val="24"/>
          <w:u w:val="single"/>
        </w:rPr>
        <w:t xml:space="preserve">                             </w:t>
      </w:r>
    </w:p>
    <w:p>
      <w:pPr>
        <w:spacing w:line="360" w:lineRule="auto"/>
        <w:ind w:left="420" w:left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2.是否选择代理机构：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是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否</w:t>
      </w:r>
    </w:p>
    <w:p>
      <w:pPr>
        <w:spacing w:line="360" w:lineRule="auto"/>
        <w:ind w:left="420" w:left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3.是否邀请本项目的其他供应商：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是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否</w:t>
      </w:r>
    </w:p>
    <w:p>
      <w:pPr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4.是否邀请专家：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是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否</w:t>
      </w:r>
    </w:p>
    <w:p>
      <w:pPr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5.是否邀请服务对象：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是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否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6.其他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（二）履约验收时间：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（三）履约验收方式：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简易程序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一般程序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（四）履约验收程序：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一次性验收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分段验收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分期验收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（五）履约验收内容</w:t>
      </w:r>
    </w:p>
    <w:p>
      <w:pPr>
        <w:spacing w:line="360" w:lineRule="auto"/>
        <w:ind w:firstLine="420"/>
        <w:jc w:val="left"/>
        <w:rPr>
          <w:rFonts w:ascii="宋体" w:hAnsi="宋体"/>
          <w:iCs/>
          <w:sz w:val="24"/>
        </w:rPr>
      </w:pPr>
      <w:r>
        <w:rPr>
          <w:rFonts w:hint="eastAsia" w:ascii="宋体" w:hAnsi="宋体"/>
          <w:iCs/>
          <w:sz w:val="24"/>
        </w:rPr>
        <w:t>1.技术履约内容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ind w:firstLine="420"/>
        <w:jc w:val="left"/>
        <w:rPr>
          <w:rFonts w:ascii="宋体" w:hAnsi="宋体"/>
          <w:iCs/>
          <w:sz w:val="24"/>
        </w:rPr>
      </w:pPr>
      <w:r>
        <w:rPr>
          <w:rFonts w:hint="eastAsia" w:ascii="宋体" w:hAnsi="宋体"/>
          <w:iCs/>
          <w:sz w:val="24"/>
        </w:rPr>
        <w:t>2.商务履约内容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（六）履约验收标准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（七）履约验收其他事项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before="312" w:beforeLines="100"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四、风险控制措施和替代方案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该采购项目按照《政府采购需求管理办法》第二十五条规定，是否需要组织风险判断、提出处置措施和替代方案：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是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仿宋_GB2312"/>
          <w:sz w:val="24"/>
        </w:rPr>
        <w:sym w:font="Wingdings 2" w:char="00A3"/>
      </w:r>
      <w:r>
        <w:rPr>
          <w:rFonts w:hint="eastAsia" w:ascii="宋体" w:hAnsi="宋体"/>
          <w:sz w:val="24"/>
        </w:rPr>
        <w:t>否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（一）国家政策变化应对措施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（二）实施环境变化应对措施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（三）重大技术变化应对措施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（四）预算项目调整应对措施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（五）因质疑投诉影响采购进度应对措施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（六）采购失败应对措施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（七）不按规定签订或者履行合同应对措施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（八）出现损害国家利益和社会公共利益情形应对措施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（九）其他采购和合同履行过程的风险及应对措施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宋体"/>
          <w:sz w:val="52"/>
          <w:szCs w:val="52"/>
        </w:rPr>
      </w:pPr>
      <w:r>
        <w:rPr>
          <w:rFonts w:hint="eastAsia" w:ascii="方正小标宋简体" w:hAnsi="方正小标宋简体" w:eastAsia="方正小标宋简体" w:cs="宋体"/>
          <w:sz w:val="52"/>
          <w:szCs w:val="52"/>
        </w:rPr>
        <w:t>政府采购项目采购需求</w:t>
      </w:r>
    </w:p>
    <w:p>
      <w:pPr>
        <w:spacing w:line="360" w:lineRule="auto"/>
        <w:jc w:val="center"/>
        <w:rPr>
          <w:rFonts w:ascii="方正小标宋简体" w:hAnsi="方正小标宋简体" w:eastAsia="方正小标宋简体" w:cs="宋体"/>
          <w:sz w:val="52"/>
          <w:szCs w:val="52"/>
        </w:rPr>
      </w:pPr>
      <w:r>
        <w:rPr>
          <w:rFonts w:hint="eastAsia" w:ascii="方正小标宋简体" w:hAnsi="方正小标宋简体" w:eastAsia="方正小标宋简体" w:cs="宋体"/>
          <w:sz w:val="52"/>
          <w:szCs w:val="52"/>
        </w:rPr>
        <w:t>审查意见</w:t>
      </w:r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360" w:lineRule="auto"/>
        <w:ind w:left="420" w:leftChars="200" w:firstLine="1260" w:firstLineChars="450"/>
        <w:rPr>
          <w:rFonts w:ascii="方正小标宋简体" w:hAnsi="方正小标宋简体" w:eastAsia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采购单位：</w:t>
      </w:r>
      <w:r>
        <w:rPr>
          <w:rFonts w:hint="eastAsia" w:ascii="方正小标宋简体" w:hAnsi="方正小标宋简体" w:eastAsia="方正小标宋简体"/>
          <w:sz w:val="28"/>
          <w:szCs w:val="28"/>
        </w:rPr>
        <w:tab/>
      </w:r>
      <w:r>
        <w:rPr>
          <w:rFonts w:hint="eastAsia" w:ascii="方正小标宋简体" w:hAnsi="方正小标宋简体" w:eastAsia="方正小标宋简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left="420" w:leftChars="200" w:firstLine="1260" w:firstLineChars="450"/>
        <w:rPr>
          <w:rFonts w:ascii="方正小标宋简体" w:hAnsi="方正小标宋简体" w:eastAsia="方正小标宋简体"/>
          <w:sz w:val="28"/>
          <w:szCs w:val="28"/>
          <w:u w:val="single"/>
        </w:rPr>
      </w:pPr>
      <w:r>
        <w:rPr>
          <w:rFonts w:ascii="方正小标宋简体" w:hAnsi="方正小标宋简体" w:eastAsia="方正小标宋简体"/>
          <w:sz w:val="28"/>
          <w:szCs w:val="28"/>
        </w:rPr>
        <w:t>项目名称</w:t>
      </w:r>
      <w:r>
        <w:rPr>
          <w:rFonts w:hint="eastAsia" w:ascii="方正小标宋简体" w:hAnsi="方正小标宋简体" w:eastAsia="方正小标宋简体"/>
          <w:sz w:val="28"/>
          <w:szCs w:val="28"/>
        </w:rPr>
        <w:t>：</w:t>
      </w:r>
      <w:r>
        <w:rPr>
          <w:rFonts w:hint="eastAsia" w:ascii="方正小标宋简体" w:hAnsi="方正小标宋简体" w:eastAsia="方正小标宋简体"/>
          <w:sz w:val="28"/>
          <w:szCs w:val="28"/>
        </w:rPr>
        <w:tab/>
      </w:r>
      <w:r>
        <w:rPr>
          <w:rFonts w:hint="eastAsia" w:ascii="方正小标宋简体" w:hAnsi="方正小标宋简体" w:eastAsia="方正小标宋简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left="420" w:leftChars="200" w:firstLine="1260" w:firstLineChars="450"/>
        <w:rPr>
          <w:rFonts w:ascii="方正小标宋简体" w:hAnsi="方正小标宋简体" w:eastAsia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第三方机构：</w:t>
      </w:r>
      <w:r>
        <w:rPr>
          <w:rFonts w:hint="eastAsia" w:ascii="方正小标宋简体" w:hAnsi="方正小标宋简体" w:eastAsia="方正小标宋简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left="420" w:leftChars="200" w:firstLine="1260" w:firstLineChars="450"/>
        <w:rPr>
          <w:rFonts w:ascii="方正小标宋简体" w:hAnsi="方正小标宋简体" w:eastAsia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审查时间：</w:t>
      </w:r>
      <w:r>
        <w:rPr>
          <w:rFonts w:hint="eastAsia" w:ascii="方正小标宋简体" w:hAnsi="方正小标宋简体" w:eastAsia="方正小标宋简体"/>
          <w:sz w:val="28"/>
          <w:szCs w:val="28"/>
        </w:rPr>
        <w:tab/>
      </w:r>
      <w:r>
        <w:rPr>
          <w:rFonts w:hint="eastAsia" w:ascii="方正小标宋简体" w:hAnsi="方正小标宋简体" w:eastAsia="方正小标宋简体"/>
          <w:sz w:val="28"/>
          <w:szCs w:val="28"/>
          <w:u w:val="single"/>
        </w:rPr>
        <w:t xml:space="preserve">                        </w:t>
      </w:r>
    </w:p>
    <w:p>
      <w:pPr>
        <w:widowControl/>
        <w:jc w:val="left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br w:type="page"/>
      </w:r>
    </w:p>
    <w:p>
      <w:pPr>
        <w:spacing w:before="312" w:beforeLines="100"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一、审查项目名称</w:t>
      </w:r>
    </w:p>
    <w:p>
      <w:pPr>
        <w:spacing w:before="312" w:beforeLines="100" w:line="360" w:lineRule="auto"/>
        <w:ind w:firstLine="420"/>
        <w:jc w:val="left"/>
        <w:rPr>
          <w:rFonts w:ascii="宋体" w:hAnsi="宋体" w:cs="仿宋_GB2312"/>
          <w:sz w:val="24"/>
          <w:u w:val="single"/>
        </w:rPr>
      </w:pPr>
      <w:r>
        <w:rPr>
          <w:rFonts w:hint="eastAsia" w:ascii="宋体" w:hAnsi="宋体" w:cs="仿宋_GB2312"/>
          <w:sz w:val="24"/>
        </w:rPr>
        <w:t>项目名称：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    </w:t>
      </w:r>
    </w:p>
    <w:p>
      <w:pPr>
        <w:spacing w:before="312" w:beforeLines="100"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二、参与审查人员名单</w:t>
      </w:r>
    </w:p>
    <w:tbl>
      <w:tblPr>
        <w:tblStyle w:val="6"/>
        <w:tblW w:w="878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405"/>
        <w:gridCol w:w="1922"/>
        <w:gridCol w:w="1207"/>
        <w:gridCol w:w="1345"/>
        <w:gridCol w:w="1301"/>
        <w:gridCol w:w="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40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9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内部处室</w:t>
            </w:r>
          </w:p>
        </w:tc>
        <w:tc>
          <w:tcPr>
            <w:tcW w:w="13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312" w:beforeLines="100"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三、一般性审查情况</w:t>
      </w:r>
    </w:p>
    <w:tbl>
      <w:tblPr>
        <w:tblStyle w:val="6"/>
        <w:tblW w:w="8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327"/>
        <w:gridCol w:w="2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 查 内 容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审查</w:t>
            </w: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32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采购需求是否符合预算、资产、财务等管理制度规定。</w:t>
            </w:r>
          </w:p>
        </w:tc>
        <w:tc>
          <w:tcPr>
            <w:tcW w:w="272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3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对采购方式、评审规则、合同类型、定价方式的选择是否说明适用理由。</w:t>
            </w:r>
          </w:p>
        </w:tc>
        <w:tc>
          <w:tcPr>
            <w:tcW w:w="2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3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属于按规定需要报相关监管部门批准、核准的事项，是否作出相关安排。</w:t>
            </w:r>
          </w:p>
        </w:tc>
        <w:tc>
          <w:tcPr>
            <w:tcW w:w="2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3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采购实施计划是否完整。</w:t>
            </w:r>
          </w:p>
        </w:tc>
        <w:tc>
          <w:tcPr>
            <w:tcW w:w="2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</w:tbl>
    <w:p>
      <w:pPr>
        <w:spacing w:before="312" w:beforeLines="100"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四、重点审查情况</w:t>
      </w:r>
    </w:p>
    <w:tbl>
      <w:tblPr>
        <w:tblStyle w:val="6"/>
        <w:tblW w:w="878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4976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 查 内 容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审查</w:t>
            </w: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（一）非歧视性审查（主要审查是否指向特定供应商或者特定产品）</w:t>
            </w:r>
          </w:p>
        </w:tc>
        <w:tc>
          <w:tcPr>
            <w:tcW w:w="49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资格条件设置是否合理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要求供应商提供超过2个同类业务合同的，是否具有合理性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技术要求是否指向特定的专利、商标、品牌、技术路线等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评审因素设置是否具有倾向性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将有关履约能力作为评审因素是否适当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（二）竞争性审查（主要审查是否确保充分竞争）</w:t>
            </w:r>
          </w:p>
        </w:tc>
        <w:tc>
          <w:tcPr>
            <w:tcW w:w="49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应当以公开方式邀请供应商的，是否依法采用公开竞争方式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采用单一来源采购方式的，是否符合法定情形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采购需求的内容是否完整、明确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采购需求的内容是否考虑后续采购竞争性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评审方法、评审因素、价格权重等评审规则是否适当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70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（三）采购政策审查</w:t>
            </w:r>
          </w:p>
        </w:tc>
        <w:tc>
          <w:tcPr>
            <w:tcW w:w="49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进口产品的采购是否必要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是否落实支持创新政府采购政策要求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是否落实绿色发展、节能环保政府采购政策要求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是否落实中小企业发展政府采购政策要求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是否落实支持监狱发展政府采购政策要求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是否落实促进残疾人就业政府采购政策要求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（四）履约风险审查</w:t>
            </w:r>
          </w:p>
        </w:tc>
        <w:tc>
          <w:tcPr>
            <w:tcW w:w="49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合同文本是否按规定由法律顾问审定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合同文本运用是否适当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是否围绕采购需求和合同履行设置权利义务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是否明确知识产权等方面的要求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履约验收方案是否完整、标准是否明确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风险处置措施和替代方案是否可行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70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（五）采购人或者主管预算单位认为应当审查的其他内容</w:t>
            </w:r>
          </w:p>
        </w:tc>
        <w:tc>
          <w:tcPr>
            <w:tcW w:w="4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采购人或者主管预算单位认为应当审查的其他内容1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采购人或者主管预算单位认为应当审查的其他内容2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采购人或者主管预算单位认为应当审查的其他内容3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采购人或者主管预算单位认为应当审查的其他内容3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240" w:firstLineChars="100"/>
        <w:jc w:val="left"/>
        <w:rPr>
          <w:rFonts w:ascii="宋体" w:hAnsi="宋体" w:cs="仿宋_GB2312"/>
          <w:b/>
          <w:sz w:val="24"/>
        </w:rPr>
      </w:pPr>
      <w:r>
        <w:rPr>
          <w:rFonts w:hint="eastAsia" w:ascii="宋体" w:hAnsi="宋体"/>
          <w:b/>
          <w:sz w:val="24"/>
        </w:rPr>
        <w:t>审查结果</w:t>
      </w:r>
      <w:r>
        <w:rPr>
          <w:rFonts w:hint="eastAsia" w:ascii="宋体" w:hAnsi="宋体"/>
          <w:b/>
          <w:sz w:val="24"/>
          <w:lang w:val="en-US" w:eastAsia="zh-CN"/>
        </w:rPr>
        <w:t xml:space="preserve">:   </w:t>
      </w:r>
      <w:r>
        <w:rPr>
          <w:rFonts w:hint="eastAsia" w:ascii="宋体" w:hAnsi="宋体" w:cs="仿宋_GB2312"/>
          <w:b/>
          <w:sz w:val="24"/>
        </w:rPr>
        <w:sym w:font="Wingdings 2" w:char="00A3"/>
      </w:r>
      <w:r>
        <w:rPr>
          <w:rFonts w:hint="eastAsia" w:ascii="宋体" w:hAnsi="宋体" w:cs="仿宋_GB2312"/>
          <w:b/>
          <w:sz w:val="24"/>
        </w:rPr>
        <w:t>通过</w:t>
      </w:r>
      <w:r>
        <w:rPr>
          <w:rFonts w:hint="eastAsia" w:ascii="宋体" w:hAnsi="宋体" w:cs="仿宋_GB2312"/>
          <w:b/>
          <w:sz w:val="24"/>
          <w:lang w:val="en-US" w:eastAsia="zh-CN"/>
        </w:rPr>
        <w:t xml:space="preserve">    </w:t>
      </w:r>
      <w:r>
        <w:rPr>
          <w:rFonts w:hint="eastAsia" w:ascii="宋体" w:hAnsi="宋体" w:cs="仿宋_GB2312"/>
          <w:b/>
          <w:sz w:val="24"/>
        </w:rPr>
        <w:sym w:font="Wingdings 2" w:char="00A3"/>
      </w:r>
      <w:r>
        <w:rPr>
          <w:rFonts w:hint="eastAsia" w:ascii="宋体" w:hAnsi="宋体" w:cs="仿宋_GB2312"/>
          <w:b/>
          <w:sz w:val="24"/>
        </w:rPr>
        <w:t>不通过</w:t>
      </w:r>
    </w:p>
    <w:p>
      <w:pPr>
        <w:spacing w:line="360" w:lineRule="auto"/>
        <w:rPr>
          <w:rFonts w:hint="eastAsia" w:ascii="宋体" w:hAnsi="宋体" w:eastAsia="宋体"/>
          <w:sz w:val="24"/>
          <w:lang w:val="en-US" w:eastAsia="zh-CN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14</w:t>
    </w:r>
    <w:r>
      <w:rPr>
        <w:rFonts w:ascii="宋体" w:hAnsi="宋体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77"/>
    <w:rsid w:val="00021224"/>
    <w:rsid w:val="000311FD"/>
    <w:rsid w:val="00064381"/>
    <w:rsid w:val="000918DD"/>
    <w:rsid w:val="00092F4E"/>
    <w:rsid w:val="000C0F74"/>
    <w:rsid w:val="000C3D7C"/>
    <w:rsid w:val="000C6507"/>
    <w:rsid w:val="000D0C5A"/>
    <w:rsid w:val="000F58B1"/>
    <w:rsid w:val="001300DC"/>
    <w:rsid w:val="001444DD"/>
    <w:rsid w:val="001540ED"/>
    <w:rsid w:val="00154DF5"/>
    <w:rsid w:val="00171DEE"/>
    <w:rsid w:val="001737EA"/>
    <w:rsid w:val="00175816"/>
    <w:rsid w:val="0017709A"/>
    <w:rsid w:val="0018642F"/>
    <w:rsid w:val="00186E20"/>
    <w:rsid w:val="00192DB8"/>
    <w:rsid w:val="001965E5"/>
    <w:rsid w:val="00196A3F"/>
    <w:rsid w:val="001A0D54"/>
    <w:rsid w:val="001A4CEB"/>
    <w:rsid w:val="001A6F93"/>
    <w:rsid w:val="001C5914"/>
    <w:rsid w:val="001D2C73"/>
    <w:rsid w:val="001D73CE"/>
    <w:rsid w:val="001E59BD"/>
    <w:rsid w:val="001F0BAE"/>
    <w:rsid w:val="0021449A"/>
    <w:rsid w:val="0024056D"/>
    <w:rsid w:val="00251D5B"/>
    <w:rsid w:val="00265E4D"/>
    <w:rsid w:val="0026741D"/>
    <w:rsid w:val="002678A2"/>
    <w:rsid w:val="00280777"/>
    <w:rsid w:val="00286AAF"/>
    <w:rsid w:val="00295E38"/>
    <w:rsid w:val="002964A8"/>
    <w:rsid w:val="002C4305"/>
    <w:rsid w:val="002E3751"/>
    <w:rsid w:val="00321278"/>
    <w:rsid w:val="00322903"/>
    <w:rsid w:val="00340773"/>
    <w:rsid w:val="003507DB"/>
    <w:rsid w:val="0039420F"/>
    <w:rsid w:val="003C77ED"/>
    <w:rsid w:val="003D0FAE"/>
    <w:rsid w:val="003F6DB7"/>
    <w:rsid w:val="00402F07"/>
    <w:rsid w:val="00405CAF"/>
    <w:rsid w:val="004066EE"/>
    <w:rsid w:val="004141FE"/>
    <w:rsid w:val="00427428"/>
    <w:rsid w:val="0046019E"/>
    <w:rsid w:val="00473949"/>
    <w:rsid w:val="004956AF"/>
    <w:rsid w:val="004978DB"/>
    <w:rsid w:val="004A0291"/>
    <w:rsid w:val="004B0115"/>
    <w:rsid w:val="004D4E89"/>
    <w:rsid w:val="004E1E58"/>
    <w:rsid w:val="004F655B"/>
    <w:rsid w:val="00504F13"/>
    <w:rsid w:val="0050595D"/>
    <w:rsid w:val="00506D54"/>
    <w:rsid w:val="00537974"/>
    <w:rsid w:val="005408BD"/>
    <w:rsid w:val="00552A9C"/>
    <w:rsid w:val="005545EC"/>
    <w:rsid w:val="00561A6F"/>
    <w:rsid w:val="005B1E45"/>
    <w:rsid w:val="005C009E"/>
    <w:rsid w:val="005C0A71"/>
    <w:rsid w:val="005C0CCF"/>
    <w:rsid w:val="005F622B"/>
    <w:rsid w:val="00601EDD"/>
    <w:rsid w:val="00607AAD"/>
    <w:rsid w:val="006100E1"/>
    <w:rsid w:val="00626E7E"/>
    <w:rsid w:val="006678D9"/>
    <w:rsid w:val="00674484"/>
    <w:rsid w:val="0068268F"/>
    <w:rsid w:val="00687581"/>
    <w:rsid w:val="00692769"/>
    <w:rsid w:val="006A72B1"/>
    <w:rsid w:val="006C6381"/>
    <w:rsid w:val="006D049B"/>
    <w:rsid w:val="006D7DD7"/>
    <w:rsid w:val="006E6DC5"/>
    <w:rsid w:val="006F0877"/>
    <w:rsid w:val="00721F76"/>
    <w:rsid w:val="00725D7C"/>
    <w:rsid w:val="00765A2F"/>
    <w:rsid w:val="00773C97"/>
    <w:rsid w:val="007B2CBB"/>
    <w:rsid w:val="007D4985"/>
    <w:rsid w:val="007F38B3"/>
    <w:rsid w:val="008020B2"/>
    <w:rsid w:val="0080466B"/>
    <w:rsid w:val="00812139"/>
    <w:rsid w:val="00814F5F"/>
    <w:rsid w:val="00823618"/>
    <w:rsid w:val="00840D73"/>
    <w:rsid w:val="0087065E"/>
    <w:rsid w:val="00880915"/>
    <w:rsid w:val="00891EF2"/>
    <w:rsid w:val="0089598D"/>
    <w:rsid w:val="00896E24"/>
    <w:rsid w:val="008C58C5"/>
    <w:rsid w:val="008E73BC"/>
    <w:rsid w:val="008F4E3B"/>
    <w:rsid w:val="0090340B"/>
    <w:rsid w:val="00917BE6"/>
    <w:rsid w:val="0092280E"/>
    <w:rsid w:val="00924EB1"/>
    <w:rsid w:val="0092766B"/>
    <w:rsid w:val="00927AE6"/>
    <w:rsid w:val="00932CFC"/>
    <w:rsid w:val="00945456"/>
    <w:rsid w:val="00970BA3"/>
    <w:rsid w:val="00975ECD"/>
    <w:rsid w:val="00987C9E"/>
    <w:rsid w:val="00994A11"/>
    <w:rsid w:val="009A09E5"/>
    <w:rsid w:val="009C7390"/>
    <w:rsid w:val="009D0BEE"/>
    <w:rsid w:val="00A02CC7"/>
    <w:rsid w:val="00A21567"/>
    <w:rsid w:val="00A55C7D"/>
    <w:rsid w:val="00A63E98"/>
    <w:rsid w:val="00A7297B"/>
    <w:rsid w:val="00A8253E"/>
    <w:rsid w:val="00A855A9"/>
    <w:rsid w:val="00A91983"/>
    <w:rsid w:val="00AA13CF"/>
    <w:rsid w:val="00AF280F"/>
    <w:rsid w:val="00AF3EC7"/>
    <w:rsid w:val="00AF6CC0"/>
    <w:rsid w:val="00AF71DD"/>
    <w:rsid w:val="00B20E34"/>
    <w:rsid w:val="00B517EC"/>
    <w:rsid w:val="00B532F2"/>
    <w:rsid w:val="00B779AD"/>
    <w:rsid w:val="00BB4B73"/>
    <w:rsid w:val="00BE63D2"/>
    <w:rsid w:val="00C0392D"/>
    <w:rsid w:val="00C43ED0"/>
    <w:rsid w:val="00C5094F"/>
    <w:rsid w:val="00C728F5"/>
    <w:rsid w:val="00C97E24"/>
    <w:rsid w:val="00CB2D28"/>
    <w:rsid w:val="00CB6081"/>
    <w:rsid w:val="00CB7952"/>
    <w:rsid w:val="00CD2D8D"/>
    <w:rsid w:val="00CF4EA2"/>
    <w:rsid w:val="00D15600"/>
    <w:rsid w:val="00D3294B"/>
    <w:rsid w:val="00D35879"/>
    <w:rsid w:val="00D373A6"/>
    <w:rsid w:val="00D41BDD"/>
    <w:rsid w:val="00D55150"/>
    <w:rsid w:val="00D6434D"/>
    <w:rsid w:val="00D84530"/>
    <w:rsid w:val="00DC08EA"/>
    <w:rsid w:val="00DC40DF"/>
    <w:rsid w:val="00DD464D"/>
    <w:rsid w:val="00DD4C65"/>
    <w:rsid w:val="00DD7DD1"/>
    <w:rsid w:val="00DF4B7B"/>
    <w:rsid w:val="00E36214"/>
    <w:rsid w:val="00E44747"/>
    <w:rsid w:val="00E608EB"/>
    <w:rsid w:val="00E62F47"/>
    <w:rsid w:val="00E725FF"/>
    <w:rsid w:val="00EB34AE"/>
    <w:rsid w:val="00EC2D15"/>
    <w:rsid w:val="00EE281D"/>
    <w:rsid w:val="00F32EBD"/>
    <w:rsid w:val="00F37314"/>
    <w:rsid w:val="00F53627"/>
    <w:rsid w:val="00F5458A"/>
    <w:rsid w:val="00F560D0"/>
    <w:rsid w:val="00F61373"/>
    <w:rsid w:val="00F75DE4"/>
    <w:rsid w:val="00F80F1F"/>
    <w:rsid w:val="00F97CF8"/>
    <w:rsid w:val="00FA2D23"/>
    <w:rsid w:val="00FA681C"/>
    <w:rsid w:val="00FA7052"/>
    <w:rsid w:val="00FC3796"/>
    <w:rsid w:val="00FC4248"/>
    <w:rsid w:val="00FE2C0D"/>
    <w:rsid w:val="00FE46D0"/>
    <w:rsid w:val="00FF6893"/>
    <w:rsid w:val="0ACB174A"/>
    <w:rsid w:val="0FFAA126"/>
    <w:rsid w:val="1FBF5987"/>
    <w:rsid w:val="2CFDEC3D"/>
    <w:rsid w:val="2FF78ACD"/>
    <w:rsid w:val="3FFFE3D5"/>
    <w:rsid w:val="4FB77C3C"/>
    <w:rsid w:val="5BBF1A8D"/>
    <w:rsid w:val="5D9F79E0"/>
    <w:rsid w:val="5DBFE6CB"/>
    <w:rsid w:val="5EFB6B15"/>
    <w:rsid w:val="5F5DEEF0"/>
    <w:rsid w:val="5F7B0613"/>
    <w:rsid w:val="67F5AD5B"/>
    <w:rsid w:val="6BC749A9"/>
    <w:rsid w:val="6BFFC72E"/>
    <w:rsid w:val="6C7FD9C9"/>
    <w:rsid w:val="6FC9F4BB"/>
    <w:rsid w:val="6FEF5868"/>
    <w:rsid w:val="74BFF378"/>
    <w:rsid w:val="75FB23CF"/>
    <w:rsid w:val="7747C58A"/>
    <w:rsid w:val="7775E090"/>
    <w:rsid w:val="77FDC161"/>
    <w:rsid w:val="788A7D09"/>
    <w:rsid w:val="79F006D6"/>
    <w:rsid w:val="7A7F1594"/>
    <w:rsid w:val="7BEA5002"/>
    <w:rsid w:val="7BF55B1A"/>
    <w:rsid w:val="7CF3DF71"/>
    <w:rsid w:val="7CF76844"/>
    <w:rsid w:val="7D500D30"/>
    <w:rsid w:val="7DBBA619"/>
    <w:rsid w:val="7DFF8764"/>
    <w:rsid w:val="7E774BE7"/>
    <w:rsid w:val="7EFD2AA6"/>
    <w:rsid w:val="7FFF23F9"/>
    <w:rsid w:val="8DAF712B"/>
    <w:rsid w:val="8DFD7E3C"/>
    <w:rsid w:val="8FF68B1A"/>
    <w:rsid w:val="9BE7792B"/>
    <w:rsid w:val="9EDCEB3E"/>
    <w:rsid w:val="ABFD0AD8"/>
    <w:rsid w:val="AF230823"/>
    <w:rsid w:val="AFF76641"/>
    <w:rsid w:val="BF5FE6FA"/>
    <w:rsid w:val="BF7FCB72"/>
    <w:rsid w:val="BFCBECE1"/>
    <w:rsid w:val="BFDF593B"/>
    <w:rsid w:val="C7FF0A76"/>
    <w:rsid w:val="CFDD797F"/>
    <w:rsid w:val="D78F1D07"/>
    <w:rsid w:val="D7ADD1FB"/>
    <w:rsid w:val="D7F1A469"/>
    <w:rsid w:val="DEDF7BEB"/>
    <w:rsid w:val="DF4F7E4B"/>
    <w:rsid w:val="DFDE6D44"/>
    <w:rsid w:val="E3FF6071"/>
    <w:rsid w:val="E6D70A22"/>
    <w:rsid w:val="E6E64C1F"/>
    <w:rsid w:val="E7B92E4B"/>
    <w:rsid w:val="EA66F35A"/>
    <w:rsid w:val="EEFBD0D8"/>
    <w:rsid w:val="EF8E1714"/>
    <w:rsid w:val="EFAB0267"/>
    <w:rsid w:val="EFBFA9A5"/>
    <w:rsid w:val="F677CB77"/>
    <w:rsid w:val="F7FFC0E2"/>
    <w:rsid w:val="FAF78EC6"/>
    <w:rsid w:val="FB6E436B"/>
    <w:rsid w:val="FBEE60A5"/>
    <w:rsid w:val="FD5FE2C3"/>
    <w:rsid w:val="FD7FE3EB"/>
    <w:rsid w:val="FDE732DF"/>
    <w:rsid w:val="FDFD932C"/>
    <w:rsid w:val="FE9F133B"/>
    <w:rsid w:val="FEEE081C"/>
    <w:rsid w:val="FEFDFE82"/>
    <w:rsid w:val="FF6F38E2"/>
    <w:rsid w:val="FF8D0D1C"/>
    <w:rsid w:val="FFA31837"/>
    <w:rsid w:val="FFA7FD1E"/>
    <w:rsid w:val="FFAA6C34"/>
    <w:rsid w:val="FFAC12CF"/>
    <w:rsid w:val="FFBF1ABA"/>
    <w:rsid w:val="FFCF78C5"/>
    <w:rsid w:val="FFDB1096"/>
    <w:rsid w:val="FFEFB19B"/>
    <w:rsid w:val="FFEFF2D9"/>
    <w:rsid w:val="FFF2D8D2"/>
    <w:rsid w:val="FFF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customStyle="1" w:styleId="10">
    <w:name w:val="页脚 Char1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qFormat/>
    <w:uiPriority w:val="99"/>
    <w:rPr>
      <w:rFonts w:eastAsia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14</Pages>
  <Words>1440</Words>
  <Characters>8211</Characters>
  <Lines>68</Lines>
  <Paragraphs>19</Paragraphs>
  <TotalTime>0</TotalTime>
  <ScaleCrop>false</ScaleCrop>
  <LinksUpToDate>false</LinksUpToDate>
  <CharactersWithSpaces>9632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2021-09-08T14:10:00Z</dcterms:created>
  <dc:creator>MC SYSTEM</dc:creator>
  <cp:lastModifiedBy>user</cp:lastModifiedBy>
  <cp:lastPrinted>2021-07-26T01:17:00Z</cp:lastPrinted>
  <dcterms:modified xsi:type="dcterms:W3CDTF">2021-10-22T15:56:18Z</dcterms:modified>
  <dc:title>厦财采〔2021〕9号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