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Lines="0" w:afterLines="0" w:line="480" w:lineRule="exact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5"/>
        <w:gridCol w:w="855"/>
        <w:gridCol w:w="167"/>
        <w:gridCol w:w="1136"/>
        <w:gridCol w:w="1136"/>
        <w:gridCol w:w="1822"/>
        <w:gridCol w:w="704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480" w:lineRule="exact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32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44"/>
                <w:szCs w:val="44"/>
              </w:rPr>
              <w:t>中央对地方专项转移支付区域绩效目标表（分校）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（202</w:t>
            </w:r>
            <w:r>
              <w:rPr>
                <w:rFonts w:hint="eastAsia" w:ascii="楷体_GB2312" w:hAnsi="楷体_GB2312" w:eastAsia="楷体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/>
                <w:color w:val="00000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专项名称</w:t>
            </w:r>
          </w:p>
        </w:tc>
        <w:tc>
          <w:tcPr>
            <w:tcW w:w="6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支持地方高校改革发展资金（提前下达）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中央主管部门</w:t>
            </w:r>
          </w:p>
        </w:tc>
        <w:tc>
          <w:tcPr>
            <w:tcW w:w="6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财政部、教育部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省级主管部门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具体实施单位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资金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情况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（万元）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年度金额：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其中：中央补助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地方资金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年度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总体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目标</w:t>
            </w:r>
          </w:p>
        </w:tc>
        <w:tc>
          <w:tcPr>
            <w:tcW w:w="7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before="0" w:beforeLines="0" w:afterLines="0" w:line="240" w:lineRule="exact"/>
              <w:ind w:firstLine="240" w:firstLineChars="100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目标1： </w:t>
            </w:r>
          </w:p>
          <w:p>
            <w:pPr>
              <w:autoSpaceDN w:val="0"/>
              <w:adjustRightInd w:val="0"/>
              <w:snapToGrid w:val="0"/>
              <w:spacing w:before="0" w:beforeLines="0" w:afterLines="0" w:line="240" w:lineRule="exact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目标2： </w:t>
            </w:r>
          </w:p>
          <w:p>
            <w:pPr>
              <w:autoSpaceDN w:val="0"/>
              <w:adjustRightInd w:val="0"/>
              <w:snapToGrid w:val="0"/>
              <w:spacing w:before="0" w:beforeLines="0" w:afterLines="0" w:line="240" w:lineRule="exact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目标3： </w:t>
            </w:r>
          </w:p>
          <w:p>
            <w:pPr>
              <w:autoSpaceDN w:val="0"/>
              <w:adjustRightInd w:val="0"/>
              <w:snapToGrid w:val="0"/>
              <w:spacing w:before="0" w:beforeLines="0" w:afterLines="0" w:line="240" w:lineRule="exact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……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绩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效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标</w:t>
            </w:r>
          </w:p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一级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二级指标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三级指标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 w:afterLines="0" w:line="26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产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标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数量指标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生均拨款水平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支持的学科数量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支持的教学实验室数量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支持的科研基地和实训中心数量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支持的创新团队数量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……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质量指标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地方高校预算拨款制度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地方高校基本办学条件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教育部学科评估排第1或90分以上的地方高校学科个数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地方高校获得国家科学技术奖个数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地方高校办学质量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……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效益</w:t>
            </w:r>
          </w:p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社会效益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指标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受益学生数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……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可持续影响指标</w:t>
            </w: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促进高校持续健康发展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……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满意度指标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服务对象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满意度指标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……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before="0" w:beforeLines="0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D3929"/>
    <w:rsid w:val="6B7D3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2021-03-15T07:04:00Z</dcterms:created>
  <dc:creator>HZCS</dc:creator>
  <cp:lastModifiedBy>HZCS</cp:lastModifiedBy>
  <dcterms:modified xsi:type="dcterms:W3CDTF">2021-03-15T07:04:36Z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