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2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4595"/>
        <w:gridCol w:w="2490"/>
        <w:gridCol w:w="4395"/>
        <w:gridCol w:w="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750" w:hRule="atLeast"/>
        </w:trPr>
        <w:tc>
          <w:tcPr>
            <w:tcW w:w="1222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附件三：部分废止失效文件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dxa"/>
          <w:trHeight w:val="435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清理意见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dxa"/>
          <w:trHeight w:val="1911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关于完善政府卫生投入政策的意见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杭财社〔2010〕898号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第二点第三款，“新型农村合作医疗市政府对淳安和原纳入‘49100’工程地区的按实际参保人数给予每人30元，萧山、余杭8元，其他县（市）15元的标准补助”作废。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dxa"/>
          <w:trHeight w:val="81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关于公布财政规范性文件清理结果的通知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杭财法〔2017〕17号 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部分废止附件1.财政有效文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件目录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C6570"/>
    <w:rsid w:val="73E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2019-08-29T04:31:00Z</dcterms:created>
  <dc:creator>毕菲菲</dc:creator>
  <cp:lastModifiedBy>毕菲菲</cp:lastModifiedBy>
  <dcterms:modified xsi:type="dcterms:W3CDTF">2019-08-29T04:34:11Z</dcterms:modified>
  <dc:title>附件三：部分废止失效文件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